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23CC975B" w:rsidR="002B4F4A" w:rsidRPr="008011DC" w:rsidRDefault="00CC6142" w:rsidP="00832408">
      <w:pPr>
        <w:spacing w:after="0" w:line="240" w:lineRule="auto"/>
        <w:jc w:val="center"/>
        <w:rPr>
          <w:rFonts w:ascii="Verdana" w:hAnsi="Verdana"/>
          <w:b/>
          <w:bCs/>
          <w:sz w:val="20"/>
          <w:szCs w:val="20"/>
        </w:rPr>
      </w:pPr>
      <w:r w:rsidRPr="008011DC">
        <w:rPr>
          <w:rFonts w:ascii="Verdana" w:hAnsi="Verdana"/>
          <w:b/>
          <w:bCs/>
          <w:sz w:val="20"/>
          <w:szCs w:val="20"/>
        </w:rPr>
        <w:t>PARTE</w:t>
      </w:r>
      <w:r w:rsidR="00A41E5E" w:rsidRPr="008011DC">
        <w:rPr>
          <w:rFonts w:ascii="Verdana" w:hAnsi="Verdana"/>
          <w:b/>
          <w:bCs/>
          <w:sz w:val="20"/>
          <w:szCs w:val="20"/>
        </w:rPr>
        <w:t xml:space="preserve"> </w:t>
      </w:r>
      <w:r w:rsidR="001A1549" w:rsidRPr="008011DC">
        <w:rPr>
          <w:rFonts w:ascii="Verdana" w:hAnsi="Verdana"/>
          <w:b/>
          <w:bCs/>
          <w:sz w:val="20"/>
          <w:szCs w:val="20"/>
        </w:rPr>
        <w:t>1</w:t>
      </w:r>
    </w:p>
    <w:p w14:paraId="6000F327" w14:textId="54FFCEDD" w:rsidR="0006736C" w:rsidRPr="008011DC" w:rsidRDefault="001A1549" w:rsidP="00832408">
      <w:pPr>
        <w:spacing w:after="0" w:line="240" w:lineRule="auto"/>
        <w:jc w:val="center"/>
        <w:rPr>
          <w:rFonts w:ascii="Verdana" w:hAnsi="Verdana"/>
          <w:b/>
          <w:bCs/>
          <w:sz w:val="20"/>
          <w:szCs w:val="20"/>
        </w:rPr>
      </w:pPr>
      <w:r w:rsidRPr="008011DC">
        <w:rPr>
          <w:rFonts w:ascii="Verdana" w:hAnsi="Verdana"/>
          <w:b/>
          <w:bCs/>
          <w:sz w:val="20"/>
          <w:szCs w:val="20"/>
        </w:rPr>
        <w:t>ADMINISTRACIÓN DE RIESGOS</w:t>
      </w:r>
    </w:p>
    <w:p w14:paraId="1BF07C81" w14:textId="77777777" w:rsidR="00721D02" w:rsidRPr="008011DC" w:rsidRDefault="00721D02" w:rsidP="00832408">
      <w:pPr>
        <w:spacing w:after="0" w:line="240" w:lineRule="auto"/>
        <w:jc w:val="center"/>
        <w:rPr>
          <w:rFonts w:ascii="Verdana" w:hAnsi="Verdana"/>
          <w:b/>
          <w:bCs/>
          <w:sz w:val="20"/>
          <w:szCs w:val="20"/>
        </w:rPr>
      </w:pPr>
    </w:p>
    <w:p w14:paraId="438B98D3" w14:textId="0174E495" w:rsidR="00A41E5E" w:rsidRPr="008011DC" w:rsidRDefault="00A41E5E" w:rsidP="00832408">
      <w:pPr>
        <w:spacing w:after="0" w:line="240" w:lineRule="auto"/>
        <w:jc w:val="center"/>
        <w:rPr>
          <w:rFonts w:ascii="Verdana" w:hAnsi="Verdana"/>
          <w:b/>
          <w:bCs/>
          <w:sz w:val="20"/>
          <w:szCs w:val="20"/>
        </w:rPr>
      </w:pPr>
      <w:r w:rsidRPr="008011DC">
        <w:rPr>
          <w:rFonts w:ascii="Verdana" w:hAnsi="Verdana"/>
          <w:b/>
          <w:bCs/>
          <w:sz w:val="20"/>
          <w:szCs w:val="20"/>
        </w:rPr>
        <w:t xml:space="preserve">CAPÍTULO </w:t>
      </w:r>
      <w:r w:rsidR="00905AB8" w:rsidRPr="008011DC">
        <w:rPr>
          <w:rFonts w:ascii="Verdana" w:hAnsi="Verdana"/>
          <w:b/>
          <w:bCs/>
          <w:sz w:val="20"/>
          <w:szCs w:val="20"/>
        </w:rPr>
        <w:t>4</w:t>
      </w:r>
    </w:p>
    <w:p w14:paraId="2A3E7952" w14:textId="3EE18084" w:rsidR="00A91BD2" w:rsidRPr="00A91BD2" w:rsidRDefault="00A91BD2" w:rsidP="00832408">
      <w:pPr>
        <w:spacing w:after="0" w:line="240" w:lineRule="auto"/>
        <w:jc w:val="center"/>
        <w:rPr>
          <w:rFonts w:ascii="Verdana" w:hAnsi="Verdana"/>
          <w:b/>
          <w:bCs/>
          <w:sz w:val="20"/>
          <w:szCs w:val="20"/>
          <w:lang w:val="es-419"/>
        </w:rPr>
      </w:pPr>
      <w:r w:rsidRPr="00A91BD2">
        <w:rPr>
          <w:rFonts w:ascii="Verdana" w:hAnsi="Verdana"/>
          <w:b/>
          <w:bCs/>
          <w:sz w:val="20"/>
          <w:szCs w:val="20"/>
          <w:lang w:val="es-419"/>
        </w:rPr>
        <w:t>GESTIÓN DE RIESGOS AMBIENTALES Y SOCIALES, INCLUIDOS LOS CLIMÁTICOS</w:t>
      </w:r>
    </w:p>
    <w:p w14:paraId="39C0F590" w14:textId="77777777" w:rsidR="00A91BD2" w:rsidRPr="00A91BD2" w:rsidRDefault="00A91BD2" w:rsidP="00832408">
      <w:pPr>
        <w:spacing w:after="0" w:line="240" w:lineRule="auto"/>
        <w:jc w:val="center"/>
        <w:rPr>
          <w:rFonts w:ascii="Verdana" w:hAnsi="Verdana"/>
          <w:b/>
          <w:bCs/>
          <w:sz w:val="20"/>
          <w:szCs w:val="20"/>
          <w:lang w:val="es-419"/>
        </w:rPr>
      </w:pPr>
    </w:p>
    <w:p w14:paraId="3A9966AF" w14:textId="77777777" w:rsidR="00A91BD2" w:rsidRPr="00A91BD2" w:rsidRDefault="00A91BD2" w:rsidP="00832408">
      <w:pPr>
        <w:spacing w:after="0" w:line="240" w:lineRule="auto"/>
        <w:jc w:val="center"/>
        <w:rPr>
          <w:rFonts w:ascii="Verdana" w:hAnsi="Verdana"/>
          <w:b/>
          <w:bCs/>
          <w:sz w:val="20"/>
          <w:szCs w:val="20"/>
          <w:lang w:val="es-419"/>
        </w:rPr>
      </w:pPr>
    </w:p>
    <w:p w14:paraId="2A052B75" w14:textId="0D0F2EAD" w:rsidR="00A91BD2" w:rsidRPr="00A91BD2" w:rsidRDefault="00A91BD2" w:rsidP="00832408">
      <w:pPr>
        <w:spacing w:after="0" w:line="240" w:lineRule="auto"/>
        <w:jc w:val="center"/>
        <w:rPr>
          <w:rFonts w:ascii="Verdana" w:hAnsi="Verdana"/>
          <w:b/>
          <w:bCs/>
          <w:sz w:val="20"/>
          <w:szCs w:val="20"/>
          <w:lang w:val="es-419"/>
        </w:rPr>
      </w:pPr>
      <w:r w:rsidRPr="265AFD2E">
        <w:rPr>
          <w:rFonts w:ascii="Verdana" w:hAnsi="Verdana"/>
          <w:b/>
          <w:bCs/>
          <w:sz w:val="20"/>
          <w:szCs w:val="20"/>
          <w:lang w:val="es-419"/>
        </w:rPr>
        <w:t xml:space="preserve">SECCIÓN </w:t>
      </w:r>
      <w:r w:rsidR="037E7753" w:rsidRPr="265AFD2E">
        <w:rPr>
          <w:rFonts w:ascii="Verdana" w:hAnsi="Verdana"/>
          <w:b/>
          <w:bCs/>
          <w:sz w:val="20"/>
          <w:szCs w:val="20"/>
          <w:lang w:val="es-419"/>
        </w:rPr>
        <w:t>1</w:t>
      </w:r>
      <w:r w:rsidRPr="265AFD2E">
        <w:rPr>
          <w:rFonts w:ascii="Verdana" w:hAnsi="Verdana"/>
          <w:b/>
          <w:bCs/>
          <w:sz w:val="20"/>
          <w:szCs w:val="20"/>
          <w:lang w:val="es-419"/>
        </w:rPr>
        <w:t xml:space="preserve"> – GESTIÓN DE RIESGOS AMBIENTALES Y SOCIALES, INCLUIDOS LOS CLIMÁTICOS</w:t>
      </w:r>
    </w:p>
    <w:p w14:paraId="3F9900A3" w14:textId="1D74F096" w:rsidR="00DA0C0E" w:rsidRDefault="00DA0C0E" w:rsidP="00832408">
      <w:pPr>
        <w:spacing w:after="0" w:line="240" w:lineRule="auto"/>
        <w:jc w:val="both"/>
        <w:rPr>
          <w:rFonts w:ascii="Verdana" w:hAnsi="Verdana"/>
          <w:sz w:val="20"/>
          <w:szCs w:val="20"/>
        </w:rPr>
      </w:pPr>
    </w:p>
    <w:p w14:paraId="6BF9AA10" w14:textId="77777777" w:rsidR="00E826C1" w:rsidRDefault="00E826C1" w:rsidP="00832408">
      <w:pPr>
        <w:spacing w:after="0" w:line="240" w:lineRule="auto"/>
        <w:jc w:val="both"/>
        <w:rPr>
          <w:rFonts w:ascii="Verdana" w:hAnsi="Verdana"/>
          <w:sz w:val="20"/>
          <w:szCs w:val="20"/>
        </w:rPr>
      </w:pPr>
    </w:p>
    <w:p w14:paraId="25891346" w14:textId="3EE24F62" w:rsidR="00E826C1" w:rsidRDefault="00946033" w:rsidP="00832408">
      <w:pPr>
        <w:spacing w:after="0" w:line="240" w:lineRule="auto"/>
        <w:jc w:val="both"/>
        <w:rPr>
          <w:rFonts w:ascii="Verdana" w:hAnsi="Verdana"/>
          <w:sz w:val="20"/>
          <w:szCs w:val="20"/>
        </w:rPr>
      </w:pPr>
      <w:r w:rsidRPr="00054A77">
        <w:rPr>
          <w:rFonts w:ascii="Verdana" w:hAnsi="Verdana"/>
          <w:noProof/>
          <w:sz w:val="20"/>
          <w:szCs w:val="20"/>
        </w:rPr>
        <mc:AlternateContent>
          <mc:Choice Requires="wps">
            <w:drawing>
              <wp:anchor distT="45720" distB="45720" distL="114300" distR="114300" simplePos="0" relativeHeight="251659264" behindDoc="0" locked="0" layoutInCell="1" allowOverlap="1" wp14:anchorId="0B0C485C" wp14:editId="71409828">
                <wp:simplePos x="0" y="0"/>
                <wp:positionH relativeFrom="margin">
                  <wp:posOffset>0</wp:posOffset>
                </wp:positionH>
                <wp:positionV relativeFrom="paragraph">
                  <wp:posOffset>200025</wp:posOffset>
                </wp:positionV>
                <wp:extent cx="5689600" cy="2038350"/>
                <wp:effectExtent l="0" t="0" r="25400" b="1905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2038350"/>
                        </a:xfrm>
                        <a:prstGeom prst="rect">
                          <a:avLst/>
                        </a:prstGeom>
                        <a:solidFill>
                          <a:srgbClr val="FFFFFF"/>
                        </a:solidFill>
                        <a:ln w="19050">
                          <a:solidFill>
                            <a:srgbClr val="000000"/>
                          </a:solidFill>
                          <a:miter lim="800000"/>
                          <a:headEnd/>
                          <a:tailEnd/>
                        </a:ln>
                      </wps:spPr>
                      <wps:txbx>
                        <w:txbxContent>
                          <w:p w14:paraId="6CF65988" w14:textId="77777777" w:rsidR="00946033" w:rsidRDefault="00946033" w:rsidP="00946033">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fue expedido mediante la Circular Externa 015 de 2025, y </w:t>
                            </w:r>
                            <w:proofErr w:type="gramStart"/>
                            <w:r>
                              <w:rPr>
                                <w:rFonts w:ascii="Verdana" w:hAnsi="Verdana"/>
                                <w:sz w:val="20"/>
                                <w:szCs w:val="20"/>
                              </w:rPr>
                              <w:t>entra en vigencia</w:t>
                            </w:r>
                            <w:proofErr w:type="gramEnd"/>
                            <w:r>
                              <w:rPr>
                                <w:rFonts w:ascii="Verdana" w:hAnsi="Verdana"/>
                                <w:sz w:val="20"/>
                                <w:szCs w:val="20"/>
                              </w:rPr>
                              <w:t xml:space="preserve"> el 3 de abril de 2027.</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B0C485C" id="_x0000_t202" coordsize="21600,21600" o:spt="202" path="m,l,21600r21600,l21600,xe">
                <v:stroke joinstyle="miter"/>
                <v:path gradientshapeok="t" o:connecttype="rect"/>
              </v:shapetype>
              <v:shape id="Cuadro de texto 2" o:spid="_x0000_s1026" type="#_x0000_t202" style="position:absolute;left:0;text-align:left;margin-left:0;margin-top:15.75pt;width:448pt;height:16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" strokeweight="1.5pt">
                <v:textbox>
                  <w:txbxContent>
                    <w:p w14:paraId="6CF65988" w14:textId="77777777" w:rsidR="00946033" w:rsidRDefault="00946033" w:rsidP="00946033">
                      <w:pPr>
                        <w:jc w:val="center"/>
                        <w:rPr>
                          <w:rFonts w:ascii="Verdana" w:hAnsi="Verdana"/>
                          <w:sz w:val="20"/>
                          <w:szCs w:val="20"/>
                        </w:rPr>
                      </w:pPr>
                      <w:r w:rsidRPr="00054A77">
                        <w:rPr>
                          <w:rFonts w:ascii="Verdana" w:hAnsi="Verdana"/>
                          <w:sz w:val="20"/>
                          <w:szCs w:val="20"/>
                        </w:rPr>
                        <w:t>Es</w:t>
                      </w:r>
                      <w:r>
                        <w:rPr>
                          <w:rFonts w:ascii="Verdana" w:hAnsi="Verdana"/>
                          <w:sz w:val="20"/>
                          <w:szCs w:val="20"/>
                        </w:rPr>
                        <w:t xml:space="preserve">te capítulo fue expedido mediante la Circular Externa 015 de 2025, y </w:t>
                      </w:r>
                      <w:proofErr w:type="gramStart"/>
                      <w:r>
                        <w:rPr>
                          <w:rFonts w:ascii="Verdana" w:hAnsi="Verdana"/>
                          <w:sz w:val="20"/>
                          <w:szCs w:val="20"/>
                        </w:rPr>
                        <w:t>entra en vigencia</w:t>
                      </w:r>
                      <w:proofErr w:type="gramEnd"/>
                      <w:r>
                        <w:rPr>
                          <w:rFonts w:ascii="Verdana" w:hAnsi="Verdana"/>
                          <w:sz w:val="20"/>
                          <w:szCs w:val="20"/>
                        </w:rPr>
                        <w:t xml:space="preserve"> el 3 de abril de 2027.</w:t>
                      </w:r>
                    </w:p>
                  </w:txbxContent>
                </v:textbox>
                <w10:wrap type="square" anchorx="margin"/>
              </v:shape>
            </w:pict>
          </mc:Fallback>
        </mc:AlternateContent>
      </w:r>
    </w:p>
    <w:p w14:paraId="411ADB98" w14:textId="77777777" w:rsidR="00946033" w:rsidRDefault="00946033" w:rsidP="00832408">
      <w:pPr>
        <w:spacing w:after="0" w:line="240" w:lineRule="auto"/>
        <w:jc w:val="both"/>
        <w:rPr>
          <w:rFonts w:ascii="Verdana" w:hAnsi="Verdana"/>
          <w:sz w:val="20"/>
          <w:szCs w:val="20"/>
        </w:rPr>
        <w:sectPr w:rsidR="00946033" w:rsidSect="003C558F">
          <w:headerReference w:type="default" r:id="rId10"/>
          <w:pgSz w:w="12240" w:h="20160" w:code="5"/>
          <w:pgMar w:top="1701" w:right="1701" w:bottom="1417" w:left="1701" w:header="708" w:footer="708" w:gutter="0"/>
          <w:cols w:space="708"/>
          <w:docGrid w:linePitch="360"/>
        </w:sectPr>
      </w:pPr>
    </w:p>
    <w:p w14:paraId="759648F3" w14:textId="77777777" w:rsidR="0080177D" w:rsidRPr="008011DC" w:rsidRDefault="0080177D" w:rsidP="0080177D">
      <w:pPr>
        <w:spacing w:after="0" w:line="240" w:lineRule="auto"/>
        <w:jc w:val="center"/>
        <w:rPr>
          <w:rFonts w:ascii="Verdana" w:hAnsi="Verdana"/>
          <w:b/>
          <w:bCs/>
          <w:sz w:val="20"/>
          <w:szCs w:val="20"/>
        </w:rPr>
      </w:pPr>
      <w:r w:rsidRPr="008011DC">
        <w:rPr>
          <w:rFonts w:ascii="Verdana" w:hAnsi="Verdana"/>
          <w:b/>
          <w:bCs/>
          <w:sz w:val="20"/>
          <w:szCs w:val="20"/>
        </w:rPr>
        <w:lastRenderedPageBreak/>
        <w:t>PARTE 1</w:t>
      </w:r>
    </w:p>
    <w:p w14:paraId="217989A4" w14:textId="77777777" w:rsidR="0080177D" w:rsidRPr="008011DC" w:rsidRDefault="0080177D" w:rsidP="0080177D">
      <w:pPr>
        <w:spacing w:after="0" w:line="240" w:lineRule="auto"/>
        <w:jc w:val="center"/>
        <w:rPr>
          <w:rFonts w:ascii="Verdana" w:hAnsi="Verdana"/>
          <w:b/>
          <w:bCs/>
          <w:sz w:val="20"/>
          <w:szCs w:val="20"/>
        </w:rPr>
      </w:pPr>
      <w:r w:rsidRPr="008011DC">
        <w:rPr>
          <w:rFonts w:ascii="Verdana" w:hAnsi="Verdana"/>
          <w:b/>
          <w:bCs/>
          <w:sz w:val="20"/>
          <w:szCs w:val="20"/>
        </w:rPr>
        <w:t>ADMINISTRACIÓN DE RIESGOS</w:t>
      </w:r>
    </w:p>
    <w:p w14:paraId="4EA219B1" w14:textId="77777777" w:rsidR="0080177D" w:rsidRPr="008011DC" w:rsidRDefault="0080177D" w:rsidP="0080177D">
      <w:pPr>
        <w:spacing w:after="0" w:line="240" w:lineRule="auto"/>
        <w:jc w:val="center"/>
        <w:rPr>
          <w:rFonts w:ascii="Verdana" w:hAnsi="Verdana"/>
          <w:b/>
          <w:bCs/>
          <w:sz w:val="20"/>
          <w:szCs w:val="20"/>
        </w:rPr>
      </w:pPr>
    </w:p>
    <w:p w14:paraId="3BC06F39" w14:textId="77777777" w:rsidR="0080177D" w:rsidRPr="008011DC" w:rsidRDefault="0080177D" w:rsidP="0080177D">
      <w:pPr>
        <w:spacing w:after="0" w:line="240" w:lineRule="auto"/>
        <w:jc w:val="center"/>
        <w:rPr>
          <w:rFonts w:ascii="Verdana" w:hAnsi="Verdana"/>
          <w:b/>
          <w:bCs/>
          <w:sz w:val="20"/>
          <w:szCs w:val="20"/>
        </w:rPr>
      </w:pPr>
      <w:r w:rsidRPr="008011DC">
        <w:rPr>
          <w:rFonts w:ascii="Verdana" w:hAnsi="Verdana"/>
          <w:b/>
          <w:bCs/>
          <w:sz w:val="20"/>
          <w:szCs w:val="20"/>
        </w:rPr>
        <w:t>CAPÍTULO 4</w:t>
      </w:r>
    </w:p>
    <w:p w14:paraId="6077A1F7" w14:textId="77777777" w:rsidR="0080177D" w:rsidRPr="00A91BD2" w:rsidRDefault="0080177D" w:rsidP="0080177D">
      <w:pPr>
        <w:spacing w:after="0" w:line="240" w:lineRule="auto"/>
        <w:jc w:val="center"/>
        <w:rPr>
          <w:rFonts w:ascii="Verdana" w:hAnsi="Verdana"/>
          <w:b/>
          <w:bCs/>
          <w:sz w:val="20"/>
          <w:szCs w:val="20"/>
          <w:lang w:val="es-419"/>
        </w:rPr>
      </w:pPr>
      <w:r w:rsidRPr="00A91BD2">
        <w:rPr>
          <w:rFonts w:ascii="Verdana" w:hAnsi="Verdana"/>
          <w:b/>
          <w:bCs/>
          <w:sz w:val="20"/>
          <w:szCs w:val="20"/>
          <w:lang w:val="es-419"/>
        </w:rPr>
        <w:t>GESTIÓN DE RIESGOS AMBIENTALES Y SOCIALES, INCLUIDOS LOS CLIMÁTICOS</w:t>
      </w:r>
    </w:p>
    <w:p w14:paraId="688D6CC6" w14:textId="77777777" w:rsidR="0080177D" w:rsidRPr="00A91BD2" w:rsidRDefault="0080177D" w:rsidP="0080177D">
      <w:pPr>
        <w:spacing w:after="0" w:line="240" w:lineRule="auto"/>
        <w:jc w:val="center"/>
        <w:rPr>
          <w:rFonts w:ascii="Verdana" w:hAnsi="Verdana"/>
          <w:b/>
          <w:bCs/>
          <w:sz w:val="20"/>
          <w:szCs w:val="20"/>
          <w:lang w:val="es-419"/>
        </w:rPr>
      </w:pPr>
    </w:p>
    <w:p w14:paraId="1492E54A" w14:textId="77777777" w:rsidR="0080177D" w:rsidRPr="00A91BD2" w:rsidRDefault="0080177D" w:rsidP="0080177D">
      <w:pPr>
        <w:spacing w:after="0" w:line="240" w:lineRule="auto"/>
        <w:jc w:val="center"/>
        <w:rPr>
          <w:rFonts w:ascii="Verdana" w:hAnsi="Verdana"/>
          <w:b/>
          <w:bCs/>
          <w:sz w:val="20"/>
          <w:szCs w:val="20"/>
          <w:lang w:val="es-419"/>
        </w:rPr>
      </w:pPr>
    </w:p>
    <w:p w14:paraId="6272F6F0" w14:textId="77777777" w:rsidR="0080177D" w:rsidRPr="00A91BD2" w:rsidRDefault="0080177D" w:rsidP="0080177D">
      <w:pPr>
        <w:spacing w:after="0" w:line="240" w:lineRule="auto"/>
        <w:jc w:val="center"/>
        <w:rPr>
          <w:rFonts w:ascii="Verdana" w:hAnsi="Verdana"/>
          <w:b/>
          <w:bCs/>
          <w:sz w:val="20"/>
          <w:szCs w:val="20"/>
          <w:lang w:val="es-419"/>
        </w:rPr>
      </w:pPr>
      <w:r w:rsidRPr="265AFD2E">
        <w:rPr>
          <w:rFonts w:ascii="Verdana" w:hAnsi="Verdana"/>
          <w:b/>
          <w:bCs/>
          <w:sz w:val="20"/>
          <w:szCs w:val="20"/>
          <w:lang w:val="es-419"/>
        </w:rPr>
        <w:t>SECCIÓN 1 – GESTIÓN DE RIESGOS AMBIENTALES Y SOCIALES, INCLUIDOS LOS CLIMÁTICOS</w:t>
      </w:r>
    </w:p>
    <w:p w14:paraId="410BDB48" w14:textId="77777777" w:rsidR="00E826C1" w:rsidRPr="0080177D" w:rsidRDefault="00E826C1" w:rsidP="00832408">
      <w:pPr>
        <w:spacing w:after="0" w:line="240" w:lineRule="auto"/>
        <w:jc w:val="both"/>
        <w:rPr>
          <w:rFonts w:ascii="Verdana" w:hAnsi="Verdana"/>
          <w:sz w:val="20"/>
          <w:szCs w:val="20"/>
          <w:lang w:val="es-419"/>
        </w:rPr>
      </w:pPr>
    </w:p>
    <w:p w14:paraId="3AEDBD8A" w14:textId="77777777" w:rsidR="00721D02" w:rsidRPr="008011DC" w:rsidRDefault="00721D02" w:rsidP="00832408">
      <w:pPr>
        <w:spacing w:after="0" w:line="240" w:lineRule="auto"/>
        <w:jc w:val="both"/>
        <w:rPr>
          <w:rFonts w:ascii="Verdana" w:hAnsi="Verdana"/>
          <w:sz w:val="20"/>
          <w:szCs w:val="20"/>
        </w:rPr>
      </w:pPr>
    </w:p>
    <w:p w14:paraId="56A53A1C" w14:textId="21786487" w:rsidR="008011DC" w:rsidRPr="00F31AC4" w:rsidRDefault="008011DC" w:rsidP="00832408">
      <w:pPr>
        <w:spacing w:line="240" w:lineRule="auto"/>
        <w:jc w:val="both"/>
        <w:rPr>
          <w:rFonts w:ascii="Verdana" w:hAnsi="Verdana"/>
          <w:b/>
          <w:bCs/>
          <w:sz w:val="20"/>
          <w:szCs w:val="20"/>
        </w:rPr>
      </w:pPr>
      <w:r w:rsidRPr="00F31AC4">
        <w:rPr>
          <w:rFonts w:ascii="Verdana" w:hAnsi="Verdana"/>
          <w:b/>
          <w:bCs/>
          <w:sz w:val="20"/>
          <w:szCs w:val="20"/>
        </w:rPr>
        <w:t>CONSIDERACIONES GENERALES</w:t>
      </w:r>
    </w:p>
    <w:p w14:paraId="28856B9E" w14:textId="77777777" w:rsidR="00832408" w:rsidRDefault="00832408" w:rsidP="00832408">
      <w:pPr>
        <w:spacing w:after="0" w:line="240" w:lineRule="auto"/>
        <w:jc w:val="both"/>
        <w:rPr>
          <w:rFonts w:ascii="Verdana" w:hAnsi="Verdana"/>
          <w:sz w:val="20"/>
          <w:szCs w:val="20"/>
        </w:rPr>
      </w:pPr>
      <w:r>
        <w:rPr>
          <w:rFonts w:ascii="Verdana" w:hAnsi="Verdana"/>
          <w:sz w:val="20"/>
          <w:szCs w:val="20"/>
        </w:rPr>
        <w:t>1.4.1.1.</w:t>
      </w:r>
    </w:p>
    <w:p w14:paraId="1BB32522" w14:textId="3602E7DA" w:rsidR="008011DC" w:rsidRPr="008011DC" w:rsidRDefault="008011DC" w:rsidP="00832408">
      <w:pPr>
        <w:spacing w:after="0" w:line="240" w:lineRule="auto"/>
        <w:jc w:val="both"/>
        <w:rPr>
          <w:rFonts w:ascii="Verdana" w:hAnsi="Verdana"/>
          <w:sz w:val="20"/>
          <w:szCs w:val="20"/>
        </w:rPr>
      </w:pPr>
      <w:r w:rsidRPr="008011DC">
        <w:rPr>
          <w:rFonts w:ascii="Verdana" w:hAnsi="Verdana"/>
          <w:sz w:val="20"/>
          <w:szCs w:val="20"/>
        </w:rPr>
        <w:t>Las entidades vigiladas deben implementar políticas y procedimientos para identificar, medir, controlar y monitorear los riesgos ambientales y sociales, incluidos los climáticos. Estas políticas y procedimientos deben considerar el posible impacto de dichos riesgos sobre la situación financiera de la entidad y sobre la resiliencia de su modelo de negocio en el corto, mediano y largo plazo, de conformidad con las instrucciones contenidas en la presente Sección.</w:t>
      </w:r>
    </w:p>
    <w:p w14:paraId="42A43E7A" w14:textId="77777777" w:rsidR="008011DC" w:rsidRPr="008011DC" w:rsidRDefault="008011DC" w:rsidP="00832408">
      <w:pPr>
        <w:spacing w:line="240" w:lineRule="auto"/>
        <w:jc w:val="both"/>
        <w:rPr>
          <w:rFonts w:ascii="Verdana" w:hAnsi="Verdana"/>
          <w:sz w:val="20"/>
          <w:szCs w:val="20"/>
        </w:rPr>
      </w:pPr>
    </w:p>
    <w:p w14:paraId="31FD9FD8" w14:textId="261E7867" w:rsidR="008011DC" w:rsidRPr="00832408" w:rsidRDefault="006C6B84" w:rsidP="00832408">
      <w:pPr>
        <w:spacing w:line="240" w:lineRule="auto"/>
        <w:jc w:val="both"/>
        <w:rPr>
          <w:rFonts w:ascii="Verdana" w:hAnsi="Verdana"/>
          <w:b/>
          <w:bCs/>
          <w:sz w:val="20"/>
          <w:szCs w:val="20"/>
        </w:rPr>
      </w:pPr>
      <w:r w:rsidRPr="00832408">
        <w:rPr>
          <w:rFonts w:ascii="Verdana" w:hAnsi="Verdana"/>
          <w:b/>
          <w:bCs/>
          <w:sz w:val="20"/>
          <w:szCs w:val="20"/>
        </w:rPr>
        <w:t xml:space="preserve">DEFINICIÓN DE LOS RIESGOS AMBIENTALES Y SOCIALES </w:t>
      </w:r>
    </w:p>
    <w:p w14:paraId="15C1CA6A" w14:textId="77777777" w:rsidR="00832408" w:rsidRDefault="00832408" w:rsidP="00832408">
      <w:pPr>
        <w:spacing w:after="0" w:line="240" w:lineRule="auto"/>
        <w:jc w:val="both"/>
        <w:rPr>
          <w:rFonts w:ascii="Verdana" w:hAnsi="Verdana"/>
          <w:sz w:val="20"/>
          <w:szCs w:val="20"/>
        </w:rPr>
      </w:pPr>
      <w:r>
        <w:rPr>
          <w:rFonts w:ascii="Verdana" w:hAnsi="Verdana"/>
          <w:sz w:val="20"/>
          <w:szCs w:val="20"/>
        </w:rPr>
        <w:t>1.4.1.2.</w:t>
      </w:r>
    </w:p>
    <w:p w14:paraId="4E32F033" w14:textId="581416F6" w:rsidR="008011DC" w:rsidRPr="008011DC" w:rsidRDefault="008011DC" w:rsidP="00832408">
      <w:pPr>
        <w:spacing w:after="0" w:line="240" w:lineRule="auto"/>
        <w:jc w:val="both"/>
        <w:rPr>
          <w:rFonts w:ascii="Verdana" w:hAnsi="Verdana"/>
          <w:sz w:val="20"/>
          <w:szCs w:val="20"/>
        </w:rPr>
      </w:pPr>
      <w:r w:rsidRPr="008011DC">
        <w:rPr>
          <w:rFonts w:ascii="Verdana" w:hAnsi="Verdana"/>
          <w:sz w:val="20"/>
          <w:szCs w:val="20"/>
        </w:rPr>
        <w:t xml:space="preserve">En el marco de la gestión de riesgos de las entidades vigiladas, el riesgo ambiental y social corresponde a la posibilidad de que una entidad incurra en pérdidas como resultado de eventos asociados a factores de riesgo ambientales y sociales.  </w:t>
      </w:r>
    </w:p>
    <w:p w14:paraId="1335C5E6" w14:textId="77777777" w:rsidR="008011DC" w:rsidRPr="008011DC" w:rsidRDefault="008011DC" w:rsidP="00832408">
      <w:pPr>
        <w:spacing w:after="0" w:line="240" w:lineRule="auto"/>
        <w:jc w:val="both"/>
        <w:rPr>
          <w:rFonts w:ascii="Verdana" w:hAnsi="Verdana"/>
          <w:sz w:val="20"/>
          <w:szCs w:val="20"/>
        </w:rPr>
      </w:pPr>
    </w:p>
    <w:p w14:paraId="29B8BABE" w14:textId="66BA9195" w:rsidR="00832408" w:rsidRDefault="00832408" w:rsidP="00832408">
      <w:pPr>
        <w:spacing w:after="0" w:line="240" w:lineRule="auto"/>
        <w:jc w:val="both"/>
        <w:rPr>
          <w:rFonts w:ascii="Verdana" w:hAnsi="Verdana"/>
          <w:sz w:val="20"/>
          <w:szCs w:val="20"/>
        </w:rPr>
      </w:pPr>
      <w:r>
        <w:rPr>
          <w:rFonts w:ascii="Verdana" w:hAnsi="Verdana"/>
          <w:sz w:val="20"/>
          <w:szCs w:val="20"/>
        </w:rPr>
        <w:t>1.4.1.3.</w:t>
      </w:r>
    </w:p>
    <w:p w14:paraId="3D35BC59" w14:textId="1FBE395C" w:rsidR="008011DC" w:rsidRDefault="008011DC" w:rsidP="00832408">
      <w:pPr>
        <w:spacing w:after="0" w:line="240" w:lineRule="auto"/>
        <w:jc w:val="both"/>
        <w:rPr>
          <w:rFonts w:ascii="Verdana" w:hAnsi="Verdana"/>
          <w:sz w:val="20"/>
          <w:szCs w:val="20"/>
        </w:rPr>
      </w:pPr>
      <w:r w:rsidRPr="008011DC">
        <w:rPr>
          <w:rFonts w:ascii="Verdana" w:hAnsi="Verdana"/>
          <w:sz w:val="20"/>
          <w:szCs w:val="20"/>
        </w:rPr>
        <w:t>Para efectos del presente Capítulo se entiende por:</w:t>
      </w:r>
    </w:p>
    <w:p w14:paraId="494F2C11" w14:textId="77777777" w:rsidR="00832408" w:rsidRPr="008011DC" w:rsidRDefault="00832408" w:rsidP="00832408">
      <w:pPr>
        <w:spacing w:after="0" w:line="240" w:lineRule="auto"/>
        <w:jc w:val="both"/>
        <w:rPr>
          <w:rFonts w:ascii="Verdana" w:hAnsi="Verdana"/>
          <w:sz w:val="20"/>
          <w:szCs w:val="20"/>
        </w:rPr>
      </w:pPr>
    </w:p>
    <w:p w14:paraId="5457A54E" w14:textId="298CD1C0" w:rsidR="008011DC" w:rsidRDefault="008011DC" w:rsidP="00F35647">
      <w:pPr>
        <w:pStyle w:val="Prrafodelista"/>
        <w:numPr>
          <w:ilvl w:val="0"/>
          <w:numId w:val="5"/>
        </w:numPr>
        <w:spacing w:line="240" w:lineRule="auto"/>
        <w:ind w:left="567" w:hanging="567"/>
        <w:jc w:val="both"/>
        <w:rPr>
          <w:rFonts w:ascii="Verdana" w:hAnsi="Verdana"/>
          <w:sz w:val="20"/>
          <w:szCs w:val="20"/>
        </w:rPr>
      </w:pPr>
      <w:r w:rsidRPr="005567FF">
        <w:rPr>
          <w:rFonts w:ascii="Verdana" w:hAnsi="Verdana"/>
          <w:sz w:val="20"/>
          <w:szCs w:val="20"/>
        </w:rPr>
        <w:t>Factor de riesgo social: cualquier práctica que pueda generar impactos negativos en: (i) las relaciones sociales, tales como el reasentamiento involuntario, el conflicto armado la afectación al orden público, los atentados contra la vida o la integridad de las personas, y (ii) los pueblos étnicos o grupos vulnerables. También se entienden como factores de riesgo social, las prácticas laborales que no cumplen con la normativa aplicable.</w:t>
      </w:r>
    </w:p>
    <w:p w14:paraId="2BED0C33" w14:textId="77777777" w:rsidR="005567FF" w:rsidRPr="005567FF" w:rsidRDefault="005567FF" w:rsidP="00F35647">
      <w:pPr>
        <w:pStyle w:val="Prrafodelista"/>
        <w:spacing w:line="240" w:lineRule="auto"/>
        <w:ind w:left="567" w:hanging="567"/>
        <w:jc w:val="both"/>
        <w:rPr>
          <w:rFonts w:ascii="Verdana" w:hAnsi="Verdana"/>
          <w:sz w:val="20"/>
          <w:szCs w:val="20"/>
        </w:rPr>
      </w:pPr>
    </w:p>
    <w:p w14:paraId="20071FED" w14:textId="11522C6E" w:rsidR="008011DC" w:rsidRPr="005567FF" w:rsidRDefault="008011DC" w:rsidP="00F35647">
      <w:pPr>
        <w:pStyle w:val="Prrafodelista"/>
        <w:numPr>
          <w:ilvl w:val="0"/>
          <w:numId w:val="5"/>
        </w:numPr>
        <w:spacing w:line="240" w:lineRule="auto"/>
        <w:ind w:left="567" w:hanging="567"/>
        <w:jc w:val="both"/>
        <w:rPr>
          <w:rFonts w:ascii="Verdana" w:hAnsi="Verdana"/>
          <w:sz w:val="20"/>
          <w:szCs w:val="20"/>
        </w:rPr>
      </w:pPr>
      <w:r w:rsidRPr="005567FF">
        <w:rPr>
          <w:rFonts w:ascii="Verdana" w:hAnsi="Verdana"/>
          <w:sz w:val="20"/>
          <w:szCs w:val="20"/>
        </w:rPr>
        <w:t xml:space="preserve">Factor de riesgo ambiental: cualquier práctica que pueda generar impactos negativos por la pérdida de (i) biodiversidad, (ii) capital natural, (iii) recursos naturales de los servicios ecosistémicos, así como de la gestión de los residuos, degradación del suelo, deforestación y contaminación. </w:t>
      </w:r>
    </w:p>
    <w:p w14:paraId="361B479E" w14:textId="77777777" w:rsidR="005567FF" w:rsidRDefault="005567FF" w:rsidP="005567FF">
      <w:pPr>
        <w:spacing w:after="0" w:line="240" w:lineRule="auto"/>
        <w:jc w:val="both"/>
        <w:rPr>
          <w:rFonts w:ascii="Verdana" w:hAnsi="Verdana"/>
          <w:sz w:val="20"/>
          <w:szCs w:val="20"/>
        </w:rPr>
      </w:pPr>
      <w:r>
        <w:rPr>
          <w:rFonts w:ascii="Verdana" w:hAnsi="Verdana"/>
          <w:sz w:val="20"/>
          <w:szCs w:val="20"/>
        </w:rPr>
        <w:t>1.4.1.4.</w:t>
      </w:r>
    </w:p>
    <w:p w14:paraId="4C6096F9" w14:textId="32E27E7D" w:rsidR="008011DC" w:rsidRPr="008011DC" w:rsidRDefault="008011DC" w:rsidP="005567FF">
      <w:pPr>
        <w:spacing w:after="0" w:line="240" w:lineRule="auto"/>
        <w:jc w:val="both"/>
        <w:rPr>
          <w:rFonts w:ascii="Verdana" w:hAnsi="Verdana"/>
          <w:sz w:val="20"/>
          <w:szCs w:val="20"/>
        </w:rPr>
      </w:pPr>
      <w:r w:rsidRPr="008011DC">
        <w:rPr>
          <w:rFonts w:ascii="Verdana" w:hAnsi="Verdana"/>
          <w:sz w:val="20"/>
          <w:szCs w:val="20"/>
        </w:rPr>
        <w:t xml:space="preserve">Los factores de riesgo ambiental incluyen los factores de riesgo climático, entendidos como los impactos adversos derivados del cambio climático o de los esfuerzos por mitigarlo. Este riesgo se clasifica en: </w:t>
      </w:r>
    </w:p>
    <w:p w14:paraId="308C9A10" w14:textId="77777777" w:rsidR="008011DC" w:rsidRPr="008011DC" w:rsidRDefault="008011DC" w:rsidP="00832408">
      <w:pPr>
        <w:spacing w:line="240" w:lineRule="auto"/>
        <w:jc w:val="both"/>
        <w:rPr>
          <w:rFonts w:ascii="Verdana" w:hAnsi="Verdana"/>
          <w:sz w:val="20"/>
          <w:szCs w:val="20"/>
        </w:rPr>
      </w:pPr>
    </w:p>
    <w:p w14:paraId="00F63553" w14:textId="668B88A5" w:rsidR="008011DC" w:rsidRDefault="008011DC" w:rsidP="00F35647">
      <w:pPr>
        <w:pStyle w:val="Prrafodelista"/>
        <w:numPr>
          <w:ilvl w:val="0"/>
          <w:numId w:val="6"/>
        </w:numPr>
        <w:spacing w:line="240" w:lineRule="auto"/>
        <w:ind w:left="567" w:hanging="567"/>
        <w:jc w:val="both"/>
        <w:rPr>
          <w:rFonts w:ascii="Verdana" w:hAnsi="Verdana"/>
          <w:sz w:val="20"/>
          <w:szCs w:val="20"/>
        </w:rPr>
      </w:pPr>
      <w:r w:rsidRPr="005567FF">
        <w:rPr>
          <w:rFonts w:ascii="Verdana" w:hAnsi="Verdana"/>
          <w:sz w:val="20"/>
          <w:szCs w:val="20"/>
        </w:rPr>
        <w:t>Riesgo físico: impactos directos e indirectos ocasionados por cambios en los patrones meteorológicos y fenómenos climáticos extremos.</w:t>
      </w:r>
    </w:p>
    <w:p w14:paraId="0B56B0CC" w14:textId="77777777" w:rsidR="005567FF" w:rsidRPr="005567FF" w:rsidRDefault="005567FF" w:rsidP="00F35647">
      <w:pPr>
        <w:pStyle w:val="Prrafodelista"/>
        <w:spacing w:line="240" w:lineRule="auto"/>
        <w:ind w:left="567" w:hanging="567"/>
        <w:jc w:val="both"/>
        <w:rPr>
          <w:rFonts w:ascii="Verdana" w:hAnsi="Verdana"/>
          <w:sz w:val="20"/>
          <w:szCs w:val="20"/>
        </w:rPr>
      </w:pPr>
    </w:p>
    <w:p w14:paraId="3F0070A3" w14:textId="709688C0" w:rsidR="008011DC" w:rsidRPr="005567FF" w:rsidRDefault="008011DC" w:rsidP="00F35647">
      <w:pPr>
        <w:pStyle w:val="Prrafodelista"/>
        <w:numPr>
          <w:ilvl w:val="0"/>
          <w:numId w:val="6"/>
        </w:numPr>
        <w:spacing w:line="240" w:lineRule="auto"/>
        <w:ind w:left="567" w:hanging="567"/>
        <w:jc w:val="both"/>
        <w:rPr>
          <w:rFonts w:ascii="Verdana" w:hAnsi="Verdana"/>
          <w:sz w:val="20"/>
          <w:szCs w:val="20"/>
        </w:rPr>
      </w:pPr>
      <w:r w:rsidRPr="005567FF">
        <w:rPr>
          <w:rFonts w:ascii="Verdana" w:hAnsi="Verdana"/>
          <w:sz w:val="20"/>
          <w:szCs w:val="20"/>
        </w:rPr>
        <w:t>Riesgo de transición: impactos derivados del proceso de adaptación hacia una economía con bajas emisiones de carbono, incluyendo cambios regulatorios, tecnológicos o en las preferencias del mercado.</w:t>
      </w:r>
    </w:p>
    <w:p w14:paraId="5A1BC259" w14:textId="5D13F63E" w:rsidR="008011DC" w:rsidRPr="005567FF" w:rsidRDefault="006C6B84" w:rsidP="00832408">
      <w:pPr>
        <w:spacing w:line="240" w:lineRule="auto"/>
        <w:jc w:val="both"/>
        <w:rPr>
          <w:rFonts w:ascii="Verdana" w:hAnsi="Verdana"/>
          <w:b/>
          <w:bCs/>
          <w:sz w:val="20"/>
          <w:szCs w:val="20"/>
        </w:rPr>
      </w:pPr>
      <w:r w:rsidRPr="005567FF">
        <w:rPr>
          <w:rFonts w:ascii="Verdana" w:hAnsi="Verdana"/>
          <w:b/>
          <w:bCs/>
          <w:sz w:val="20"/>
          <w:szCs w:val="20"/>
        </w:rPr>
        <w:t>ÁMBITO DE APLICACIÓN</w:t>
      </w:r>
    </w:p>
    <w:p w14:paraId="3F2E3204" w14:textId="77777777" w:rsidR="005567FF" w:rsidRDefault="005567FF" w:rsidP="005567FF">
      <w:pPr>
        <w:spacing w:after="0" w:line="240" w:lineRule="auto"/>
        <w:jc w:val="both"/>
        <w:rPr>
          <w:rFonts w:ascii="Verdana" w:hAnsi="Verdana"/>
          <w:sz w:val="20"/>
          <w:szCs w:val="20"/>
        </w:rPr>
      </w:pPr>
      <w:r>
        <w:rPr>
          <w:rFonts w:ascii="Verdana" w:hAnsi="Verdana"/>
          <w:sz w:val="20"/>
          <w:szCs w:val="20"/>
        </w:rPr>
        <w:t>1.4.1.5.</w:t>
      </w:r>
    </w:p>
    <w:p w14:paraId="5E4513F0" w14:textId="17DDE973" w:rsidR="000A2B5A" w:rsidRDefault="008011DC" w:rsidP="000A2B5A">
      <w:pPr>
        <w:spacing w:after="0" w:line="240" w:lineRule="auto"/>
        <w:jc w:val="both"/>
        <w:rPr>
          <w:rFonts w:ascii="Verdana" w:hAnsi="Verdana"/>
          <w:sz w:val="20"/>
          <w:szCs w:val="20"/>
        </w:rPr>
      </w:pPr>
      <w:r w:rsidRPr="008011DC">
        <w:rPr>
          <w:rFonts w:ascii="Verdana" w:hAnsi="Verdana"/>
          <w:sz w:val="20"/>
          <w:szCs w:val="20"/>
        </w:rPr>
        <w:t xml:space="preserve">Las instrucciones </w:t>
      </w:r>
      <w:r w:rsidRPr="001356B1">
        <w:rPr>
          <w:rFonts w:ascii="Verdana" w:hAnsi="Verdana"/>
          <w:sz w:val="20"/>
          <w:szCs w:val="20"/>
        </w:rPr>
        <w:t xml:space="preserve">de la presente Sección deben ser aplicadas por las entidades vigiladas previstas en el </w:t>
      </w:r>
      <w:r w:rsidR="00AF3D8F" w:rsidRPr="001356B1">
        <w:rPr>
          <w:rFonts w:ascii="Verdana" w:hAnsi="Verdana"/>
          <w:sz w:val="20"/>
          <w:szCs w:val="20"/>
        </w:rPr>
        <w:t xml:space="preserve">párrafo </w:t>
      </w:r>
      <w:r w:rsidRPr="001356B1">
        <w:rPr>
          <w:rFonts w:ascii="Verdana" w:hAnsi="Verdana"/>
          <w:sz w:val="20"/>
          <w:szCs w:val="20"/>
        </w:rPr>
        <w:t>1.</w:t>
      </w:r>
      <w:r w:rsidR="00AF3D8F" w:rsidRPr="001356B1">
        <w:rPr>
          <w:rFonts w:ascii="Verdana" w:hAnsi="Verdana"/>
          <w:sz w:val="20"/>
          <w:szCs w:val="20"/>
        </w:rPr>
        <w:t>1.1.6.</w:t>
      </w:r>
      <w:r w:rsidRPr="001356B1">
        <w:rPr>
          <w:rFonts w:ascii="Verdana" w:hAnsi="Verdana"/>
          <w:sz w:val="20"/>
          <w:szCs w:val="20"/>
        </w:rPr>
        <w:t xml:space="preserve"> de la </w:t>
      </w:r>
      <w:r w:rsidR="00AF3D8F" w:rsidRPr="001356B1">
        <w:rPr>
          <w:rFonts w:ascii="Verdana" w:hAnsi="Verdana"/>
          <w:sz w:val="20"/>
          <w:szCs w:val="20"/>
        </w:rPr>
        <w:t xml:space="preserve">Sección I </w:t>
      </w:r>
      <w:r w:rsidR="005E647D" w:rsidRPr="001356B1">
        <w:rPr>
          <w:rFonts w:ascii="Verdana" w:hAnsi="Verdana"/>
          <w:sz w:val="20"/>
          <w:szCs w:val="20"/>
        </w:rPr>
        <w:t xml:space="preserve">Generalidades del Sistema Integral de Administración </w:t>
      </w:r>
      <w:r w:rsidR="00B028C4" w:rsidRPr="001356B1">
        <w:rPr>
          <w:rFonts w:ascii="Verdana" w:hAnsi="Verdana"/>
          <w:sz w:val="20"/>
          <w:szCs w:val="20"/>
        </w:rPr>
        <w:t>d</w:t>
      </w:r>
      <w:r w:rsidR="005E647D" w:rsidRPr="001356B1">
        <w:rPr>
          <w:rFonts w:ascii="Verdana" w:hAnsi="Verdana"/>
          <w:sz w:val="20"/>
          <w:szCs w:val="20"/>
        </w:rPr>
        <w:t>e Riesgos</w:t>
      </w:r>
      <w:r w:rsidR="00B028C4" w:rsidRPr="001356B1">
        <w:rPr>
          <w:rFonts w:ascii="Verdana" w:hAnsi="Verdana"/>
          <w:sz w:val="20"/>
          <w:szCs w:val="20"/>
        </w:rPr>
        <w:t>»</w:t>
      </w:r>
      <w:r w:rsidR="006C4D50" w:rsidRPr="001356B1">
        <w:rPr>
          <w:rFonts w:ascii="Verdana" w:hAnsi="Verdana"/>
          <w:sz w:val="20"/>
          <w:szCs w:val="20"/>
        </w:rPr>
        <w:t xml:space="preserve"> del Capítulo I </w:t>
      </w:r>
      <w:r w:rsidRPr="001356B1">
        <w:rPr>
          <w:rFonts w:ascii="Verdana" w:hAnsi="Verdana"/>
          <w:sz w:val="20"/>
          <w:szCs w:val="20"/>
        </w:rPr>
        <w:t>«Sistema Integral de Administración de Riesgos (SIAR)»</w:t>
      </w:r>
      <w:r w:rsidR="006C4D50" w:rsidRPr="001356B1">
        <w:rPr>
          <w:rFonts w:ascii="Verdana" w:hAnsi="Verdana"/>
          <w:sz w:val="20"/>
          <w:szCs w:val="20"/>
        </w:rPr>
        <w:t xml:space="preserve"> de la Parte I </w:t>
      </w:r>
      <w:r w:rsidR="001356B1" w:rsidRPr="001356B1">
        <w:rPr>
          <w:rFonts w:ascii="Verdana" w:hAnsi="Verdana"/>
          <w:sz w:val="20"/>
          <w:szCs w:val="20"/>
        </w:rPr>
        <w:t>«Administración de Riesgos» de la CBRAPIF</w:t>
      </w:r>
      <w:r w:rsidRPr="001356B1">
        <w:rPr>
          <w:rFonts w:ascii="Verdana" w:hAnsi="Verdana"/>
          <w:sz w:val="20"/>
          <w:szCs w:val="20"/>
        </w:rPr>
        <w:t xml:space="preserve">, teniendo en cuenta las excepciones previstas en el </w:t>
      </w:r>
      <w:r w:rsidR="00427537" w:rsidRPr="001356B1">
        <w:rPr>
          <w:rFonts w:ascii="Verdana" w:hAnsi="Verdana"/>
          <w:sz w:val="20"/>
          <w:szCs w:val="20"/>
        </w:rPr>
        <w:t>párrafo</w:t>
      </w:r>
      <w:r w:rsidRPr="001356B1">
        <w:rPr>
          <w:rFonts w:ascii="Verdana" w:hAnsi="Verdana"/>
          <w:sz w:val="20"/>
          <w:szCs w:val="20"/>
        </w:rPr>
        <w:t xml:space="preserve"> 1.</w:t>
      </w:r>
      <w:r w:rsidR="00427537" w:rsidRPr="001356B1">
        <w:rPr>
          <w:rFonts w:ascii="Verdana" w:hAnsi="Verdana"/>
          <w:sz w:val="20"/>
          <w:szCs w:val="20"/>
        </w:rPr>
        <w:t xml:space="preserve">1.1.7. </w:t>
      </w:r>
      <w:r w:rsidRPr="001356B1">
        <w:rPr>
          <w:rFonts w:ascii="Verdana" w:hAnsi="Verdana"/>
          <w:sz w:val="20"/>
          <w:szCs w:val="20"/>
        </w:rPr>
        <w:t>de la referida disposición.</w:t>
      </w:r>
      <w:r w:rsidRPr="008011DC">
        <w:rPr>
          <w:rFonts w:ascii="Verdana" w:hAnsi="Verdana"/>
          <w:sz w:val="20"/>
          <w:szCs w:val="20"/>
        </w:rPr>
        <w:t xml:space="preserve"> </w:t>
      </w:r>
    </w:p>
    <w:p w14:paraId="6AC519B4" w14:textId="77777777" w:rsidR="000A2B5A" w:rsidRDefault="000A2B5A" w:rsidP="000A2B5A">
      <w:pPr>
        <w:spacing w:after="0" w:line="240" w:lineRule="auto"/>
        <w:jc w:val="both"/>
        <w:rPr>
          <w:rFonts w:ascii="Verdana" w:hAnsi="Verdana"/>
          <w:sz w:val="20"/>
          <w:szCs w:val="20"/>
        </w:rPr>
      </w:pPr>
    </w:p>
    <w:p w14:paraId="271F3C60" w14:textId="77777777" w:rsidR="000A2B5A" w:rsidRDefault="000A2B5A" w:rsidP="000A2B5A">
      <w:pPr>
        <w:spacing w:after="0" w:line="240" w:lineRule="auto"/>
        <w:jc w:val="both"/>
        <w:rPr>
          <w:rFonts w:ascii="Verdana" w:hAnsi="Verdana"/>
          <w:sz w:val="20"/>
          <w:szCs w:val="20"/>
        </w:rPr>
      </w:pPr>
      <w:r>
        <w:rPr>
          <w:rFonts w:ascii="Verdana" w:hAnsi="Verdana"/>
          <w:sz w:val="20"/>
          <w:szCs w:val="20"/>
        </w:rPr>
        <w:t>1.4.1.6.</w:t>
      </w:r>
    </w:p>
    <w:p w14:paraId="6DC2E427" w14:textId="16C538C3" w:rsidR="008011DC" w:rsidRPr="008011DC" w:rsidRDefault="008011DC" w:rsidP="000A2B5A">
      <w:pPr>
        <w:spacing w:after="0" w:line="240" w:lineRule="auto"/>
        <w:jc w:val="both"/>
        <w:rPr>
          <w:rFonts w:ascii="Verdana" w:hAnsi="Verdana"/>
          <w:sz w:val="20"/>
          <w:szCs w:val="20"/>
        </w:rPr>
      </w:pPr>
      <w:r w:rsidRPr="008011DC">
        <w:rPr>
          <w:rFonts w:ascii="Verdana" w:hAnsi="Verdana"/>
          <w:sz w:val="20"/>
          <w:szCs w:val="20"/>
        </w:rPr>
        <w:t xml:space="preserve">Estas instrucciones solo resultan aplicables frente a los productos, servicios y operaciones que, por su naturaleza, puedan tener exposición a riesgos ambientales y sociales, incluidos los climáticos. </w:t>
      </w:r>
    </w:p>
    <w:p w14:paraId="68B7A267" w14:textId="77777777" w:rsidR="008011DC" w:rsidRPr="008011DC" w:rsidRDefault="008011DC" w:rsidP="00832408">
      <w:pPr>
        <w:spacing w:line="240" w:lineRule="auto"/>
        <w:jc w:val="both"/>
        <w:rPr>
          <w:rFonts w:ascii="Verdana" w:hAnsi="Verdana"/>
          <w:sz w:val="20"/>
          <w:szCs w:val="20"/>
        </w:rPr>
      </w:pPr>
    </w:p>
    <w:p w14:paraId="67DE3B88" w14:textId="1699FD87" w:rsidR="008011DC" w:rsidRPr="000A2B5A" w:rsidRDefault="006C6B84" w:rsidP="00832408">
      <w:pPr>
        <w:spacing w:line="240" w:lineRule="auto"/>
        <w:jc w:val="both"/>
        <w:rPr>
          <w:rFonts w:ascii="Verdana" w:hAnsi="Verdana"/>
          <w:b/>
          <w:bCs/>
          <w:sz w:val="20"/>
          <w:szCs w:val="20"/>
        </w:rPr>
      </w:pPr>
      <w:r w:rsidRPr="000A2B5A">
        <w:rPr>
          <w:rFonts w:ascii="Verdana" w:hAnsi="Verdana"/>
          <w:b/>
          <w:bCs/>
          <w:sz w:val="20"/>
          <w:szCs w:val="20"/>
        </w:rPr>
        <w:lastRenderedPageBreak/>
        <w:t xml:space="preserve">PRINCIPIO DE PROPORCIONALIDAD </w:t>
      </w:r>
    </w:p>
    <w:p w14:paraId="7F7665CC" w14:textId="2B712FC7" w:rsidR="000A2B5A" w:rsidRDefault="000A2B5A" w:rsidP="000A2B5A">
      <w:pPr>
        <w:spacing w:after="0" w:line="240" w:lineRule="auto"/>
        <w:jc w:val="both"/>
        <w:rPr>
          <w:rFonts w:ascii="Verdana" w:hAnsi="Verdana"/>
          <w:sz w:val="20"/>
          <w:szCs w:val="20"/>
        </w:rPr>
      </w:pPr>
      <w:r>
        <w:rPr>
          <w:rFonts w:ascii="Verdana" w:hAnsi="Verdana"/>
          <w:sz w:val="20"/>
          <w:szCs w:val="20"/>
        </w:rPr>
        <w:t>1.4.1.7.</w:t>
      </w:r>
    </w:p>
    <w:p w14:paraId="3D0AFD96" w14:textId="4432F9D5"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La gestión del riesgo ambiental y social, incluido el climático, debe soportarse en la información razonablemente disponible para cada entidad, y debe ser coherente con el perfil y marco de apetito de riesgo de la entidad, el plan de negocio, modelo de negocio, planeación estratégica y la naturaleza, tamaño, complejidad y diversidad de sus actividades.</w:t>
      </w:r>
    </w:p>
    <w:p w14:paraId="3042BDDC" w14:textId="55C233D1" w:rsidR="000A2B5A" w:rsidRDefault="000A2B5A" w:rsidP="000A2B5A">
      <w:pPr>
        <w:spacing w:after="0" w:line="240" w:lineRule="auto"/>
        <w:jc w:val="both"/>
        <w:rPr>
          <w:rFonts w:ascii="Verdana" w:hAnsi="Verdana"/>
          <w:sz w:val="20"/>
          <w:szCs w:val="20"/>
        </w:rPr>
      </w:pPr>
      <w:r>
        <w:rPr>
          <w:rFonts w:ascii="Verdana" w:hAnsi="Verdana"/>
          <w:sz w:val="20"/>
          <w:szCs w:val="20"/>
        </w:rPr>
        <w:t>1.4.1.8.</w:t>
      </w:r>
    </w:p>
    <w:p w14:paraId="022FBECC" w14:textId="46E1BD62"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 xml:space="preserve">En aplicación del principio de proporcionalidad: </w:t>
      </w:r>
    </w:p>
    <w:p w14:paraId="1EE14AE9" w14:textId="18B86A71" w:rsidR="008011DC" w:rsidRDefault="008011DC" w:rsidP="00F35647">
      <w:pPr>
        <w:pStyle w:val="Prrafodelista"/>
        <w:numPr>
          <w:ilvl w:val="0"/>
          <w:numId w:val="7"/>
        </w:numPr>
        <w:spacing w:line="240" w:lineRule="auto"/>
        <w:ind w:left="567" w:hanging="567"/>
        <w:jc w:val="both"/>
        <w:rPr>
          <w:rFonts w:ascii="Verdana" w:hAnsi="Verdana"/>
          <w:sz w:val="20"/>
          <w:szCs w:val="20"/>
        </w:rPr>
      </w:pPr>
      <w:r w:rsidRPr="000A2B5A">
        <w:rPr>
          <w:rFonts w:ascii="Verdana" w:hAnsi="Verdana"/>
          <w:sz w:val="20"/>
          <w:szCs w:val="20"/>
        </w:rPr>
        <w:t xml:space="preserve">Los establecimientos de crédito y las Instituciones Oficiales Especiales deben gestionar los riesgos ambientales y sociales, incluidos los climáticos, asociados a sus productos del activo conforme a su estrategia de negocio y al principio de relevancia. </w:t>
      </w:r>
    </w:p>
    <w:p w14:paraId="016290AF" w14:textId="77777777" w:rsidR="000A2B5A" w:rsidRPr="000A2B5A" w:rsidRDefault="000A2B5A" w:rsidP="00F35647">
      <w:pPr>
        <w:pStyle w:val="Prrafodelista"/>
        <w:spacing w:line="240" w:lineRule="auto"/>
        <w:ind w:left="567" w:hanging="567"/>
        <w:jc w:val="both"/>
        <w:rPr>
          <w:rFonts w:ascii="Verdana" w:hAnsi="Verdana"/>
          <w:sz w:val="20"/>
          <w:szCs w:val="20"/>
        </w:rPr>
      </w:pPr>
    </w:p>
    <w:p w14:paraId="577EDE1A" w14:textId="498ABEF1" w:rsidR="008011DC" w:rsidRDefault="008011DC" w:rsidP="00F35647">
      <w:pPr>
        <w:pStyle w:val="Prrafodelista"/>
        <w:numPr>
          <w:ilvl w:val="0"/>
          <w:numId w:val="7"/>
        </w:numPr>
        <w:spacing w:line="240" w:lineRule="auto"/>
        <w:ind w:left="567" w:hanging="567"/>
        <w:jc w:val="both"/>
        <w:rPr>
          <w:rFonts w:ascii="Verdana" w:hAnsi="Verdana"/>
          <w:sz w:val="20"/>
          <w:szCs w:val="20"/>
        </w:rPr>
      </w:pPr>
      <w:r w:rsidRPr="000A2B5A">
        <w:rPr>
          <w:rFonts w:ascii="Verdana" w:hAnsi="Verdana"/>
          <w:sz w:val="20"/>
          <w:szCs w:val="20"/>
        </w:rPr>
        <w:t>Las entidades aseguradoras deben evaluar los riesgos ambientales y sociales, incluidos los climáticos, al momento de evaluar el riesgo de suscripción conforme a su estrategia de negocio y al principio de relevancia.</w:t>
      </w:r>
    </w:p>
    <w:p w14:paraId="2F405171" w14:textId="77777777" w:rsidR="000A2B5A" w:rsidRPr="000A2B5A" w:rsidRDefault="000A2B5A" w:rsidP="00F35647">
      <w:pPr>
        <w:pStyle w:val="Prrafodelista"/>
        <w:spacing w:line="240" w:lineRule="auto"/>
        <w:ind w:left="567" w:hanging="567"/>
        <w:jc w:val="both"/>
        <w:rPr>
          <w:rFonts w:ascii="Verdana" w:hAnsi="Verdana"/>
          <w:sz w:val="20"/>
          <w:szCs w:val="20"/>
        </w:rPr>
      </w:pPr>
    </w:p>
    <w:p w14:paraId="6D201B22" w14:textId="312BF5CB" w:rsidR="008011DC" w:rsidRDefault="008011DC" w:rsidP="00F35647">
      <w:pPr>
        <w:pStyle w:val="Prrafodelista"/>
        <w:numPr>
          <w:ilvl w:val="0"/>
          <w:numId w:val="7"/>
        </w:numPr>
        <w:spacing w:line="240" w:lineRule="auto"/>
        <w:ind w:left="567" w:hanging="567"/>
        <w:jc w:val="both"/>
        <w:rPr>
          <w:rFonts w:ascii="Verdana" w:hAnsi="Verdana"/>
          <w:sz w:val="20"/>
          <w:szCs w:val="20"/>
        </w:rPr>
      </w:pPr>
      <w:r w:rsidRPr="000A2B5A">
        <w:rPr>
          <w:rFonts w:ascii="Verdana" w:hAnsi="Verdana"/>
          <w:sz w:val="20"/>
          <w:szCs w:val="20"/>
        </w:rPr>
        <w:t xml:space="preserve">Las </w:t>
      </w:r>
      <w:r w:rsidRPr="003422D1">
        <w:rPr>
          <w:rFonts w:ascii="Verdana" w:hAnsi="Verdana"/>
          <w:sz w:val="20"/>
          <w:szCs w:val="20"/>
        </w:rPr>
        <w:t>entidades aseguradoras deben gestionar los riesgos ambientales y sociales, incluidos los climáticos, asociados a la inversión de los activos que respaldan sus reservas técnicas, únicamente en los términos previstos en los subnumerales 1.10 y 1.11 del Anexo 15 del</w:t>
      </w:r>
      <w:r w:rsidR="00622997" w:rsidRPr="003422D1">
        <w:rPr>
          <w:rFonts w:ascii="Verdana" w:hAnsi="Verdana"/>
          <w:sz w:val="20"/>
          <w:szCs w:val="20"/>
        </w:rPr>
        <w:t xml:space="preserve"> Capítulo II del</w:t>
      </w:r>
      <w:r w:rsidRPr="003422D1">
        <w:rPr>
          <w:rFonts w:ascii="Verdana" w:hAnsi="Verdana"/>
          <w:sz w:val="20"/>
          <w:szCs w:val="20"/>
        </w:rPr>
        <w:t xml:space="preserve"> Título IV de la Parte II de la Circular Básica Jurídica, teniendo en cuenta su estrategia de negocio, el principio de relevancia y los regímenes de inversión dispuestos en las normas vigentes. En todo caso, estos regímenes</w:t>
      </w:r>
      <w:r w:rsidRPr="000A2B5A">
        <w:rPr>
          <w:rFonts w:ascii="Verdana" w:hAnsi="Verdana"/>
          <w:sz w:val="20"/>
          <w:szCs w:val="20"/>
        </w:rPr>
        <w:t xml:space="preserve"> de inversión tendrán aplicación prevalente en caso de conflicto entre dichos regímenes y la gestión de los riesgos ambientales y sociales, incluidos los climáticos.</w:t>
      </w:r>
    </w:p>
    <w:p w14:paraId="29C7A648" w14:textId="77777777" w:rsidR="000A2B5A" w:rsidRPr="000A2B5A" w:rsidRDefault="000A2B5A" w:rsidP="00F35647">
      <w:pPr>
        <w:pStyle w:val="Prrafodelista"/>
        <w:spacing w:line="240" w:lineRule="auto"/>
        <w:ind w:left="567" w:hanging="567"/>
        <w:jc w:val="both"/>
        <w:rPr>
          <w:rFonts w:ascii="Verdana" w:hAnsi="Verdana"/>
          <w:sz w:val="20"/>
          <w:szCs w:val="20"/>
        </w:rPr>
      </w:pPr>
    </w:p>
    <w:p w14:paraId="277483D1" w14:textId="763A6937" w:rsidR="008011DC" w:rsidRDefault="008011DC" w:rsidP="00F35647">
      <w:pPr>
        <w:pStyle w:val="Prrafodelista"/>
        <w:numPr>
          <w:ilvl w:val="0"/>
          <w:numId w:val="7"/>
        </w:numPr>
        <w:spacing w:line="240" w:lineRule="auto"/>
        <w:ind w:left="567" w:hanging="567"/>
        <w:jc w:val="both"/>
        <w:rPr>
          <w:rFonts w:ascii="Verdana" w:hAnsi="Verdana"/>
          <w:sz w:val="20"/>
          <w:szCs w:val="20"/>
        </w:rPr>
      </w:pPr>
      <w:r w:rsidRPr="000A2B5A">
        <w:rPr>
          <w:rFonts w:ascii="Verdana" w:hAnsi="Verdana"/>
          <w:sz w:val="20"/>
          <w:szCs w:val="20"/>
        </w:rPr>
        <w:t xml:space="preserve">Las entidades que administran recursos de terceros, de acuerdo con lo dispuesto en el </w:t>
      </w:r>
      <w:r w:rsidR="00D9615E">
        <w:rPr>
          <w:rFonts w:ascii="Verdana" w:hAnsi="Verdana"/>
          <w:sz w:val="20"/>
          <w:szCs w:val="20"/>
        </w:rPr>
        <w:t xml:space="preserve">Capítulo </w:t>
      </w:r>
      <w:r w:rsidR="009230DC">
        <w:rPr>
          <w:rFonts w:ascii="Verdana" w:hAnsi="Verdana"/>
          <w:sz w:val="20"/>
          <w:szCs w:val="20"/>
        </w:rPr>
        <w:t>4 de la Parte 2 de la CBRAPIF</w:t>
      </w:r>
      <w:r w:rsidRPr="000A2B5A">
        <w:rPr>
          <w:rFonts w:ascii="Verdana" w:hAnsi="Verdana"/>
          <w:sz w:val="20"/>
          <w:szCs w:val="20"/>
        </w:rPr>
        <w:t xml:space="preserve">, deben gestionar los riesgos ambientales y sociales, incluidos los climáticos, únicamente en las operaciones realizadas por cuenta propia, teniendo en cuenta su estrategia de negocio, el principio de relevancia y los regímenes de inversión dispuestos en las normas vigentes. En todo caso, dichos regímenes de inversión tendrán aplicación prevalente en caso de conflicto entre dichos regímenes y la gestión de los riesgos ambientales y sociales, incluidos los climáticos. </w:t>
      </w:r>
    </w:p>
    <w:p w14:paraId="314225EC" w14:textId="77777777" w:rsidR="000A2B5A" w:rsidRPr="000A2B5A" w:rsidRDefault="000A2B5A" w:rsidP="00F35647">
      <w:pPr>
        <w:pStyle w:val="Prrafodelista"/>
        <w:spacing w:line="240" w:lineRule="auto"/>
        <w:ind w:left="567" w:hanging="567"/>
        <w:jc w:val="both"/>
        <w:rPr>
          <w:rFonts w:ascii="Verdana" w:hAnsi="Verdana"/>
          <w:sz w:val="20"/>
          <w:szCs w:val="20"/>
        </w:rPr>
      </w:pPr>
    </w:p>
    <w:p w14:paraId="434B5C13" w14:textId="0ABA81B3" w:rsidR="008011DC" w:rsidRDefault="008011DC" w:rsidP="00F35647">
      <w:pPr>
        <w:pStyle w:val="Prrafodelista"/>
        <w:numPr>
          <w:ilvl w:val="0"/>
          <w:numId w:val="7"/>
        </w:numPr>
        <w:spacing w:line="240" w:lineRule="auto"/>
        <w:ind w:left="567" w:hanging="567"/>
        <w:jc w:val="both"/>
        <w:rPr>
          <w:rFonts w:ascii="Verdana" w:hAnsi="Verdana"/>
          <w:sz w:val="20"/>
          <w:szCs w:val="20"/>
        </w:rPr>
      </w:pPr>
      <w:r w:rsidRPr="000A2B5A">
        <w:rPr>
          <w:rFonts w:ascii="Verdana" w:hAnsi="Verdana"/>
          <w:sz w:val="20"/>
          <w:szCs w:val="20"/>
        </w:rPr>
        <w:t xml:space="preserve">Las AFP deben gestionar los </w:t>
      </w:r>
      <w:r w:rsidRPr="003613EE">
        <w:rPr>
          <w:rFonts w:ascii="Verdana" w:hAnsi="Verdana"/>
          <w:sz w:val="20"/>
          <w:szCs w:val="20"/>
        </w:rPr>
        <w:t>riesgos ambientales y sociales, incluidos los climáticos, en sus procesos de inversión, únicamente en los términos previstos en el Capítulo IV del Título III de la Parte II de la Circular Básica Jurídica, teniendo en cuenta su estrategia de negocio, el principio</w:t>
      </w:r>
      <w:r w:rsidRPr="000A2B5A">
        <w:rPr>
          <w:rFonts w:ascii="Verdana" w:hAnsi="Verdana"/>
          <w:sz w:val="20"/>
          <w:szCs w:val="20"/>
        </w:rPr>
        <w:t xml:space="preserve"> de relevancia y los regímenes de inversión dispuestos en las normas vigentes. En todo caso, estos regímenes de inversión tendrán aplicación prevalente, en caso de conflicto entre dichos regímenes y la gestión de los riesgos ambientales y sociales, incluidos los climáticos.</w:t>
      </w:r>
    </w:p>
    <w:p w14:paraId="3208B135" w14:textId="77777777" w:rsidR="000A2B5A" w:rsidRPr="000A2B5A" w:rsidRDefault="000A2B5A" w:rsidP="00F35647">
      <w:pPr>
        <w:pStyle w:val="Prrafodelista"/>
        <w:spacing w:line="240" w:lineRule="auto"/>
        <w:ind w:left="567" w:hanging="567"/>
        <w:jc w:val="both"/>
        <w:rPr>
          <w:rFonts w:ascii="Verdana" w:hAnsi="Verdana"/>
          <w:sz w:val="20"/>
          <w:szCs w:val="20"/>
        </w:rPr>
      </w:pPr>
    </w:p>
    <w:p w14:paraId="62F57E75" w14:textId="4717A3E1" w:rsidR="008011DC" w:rsidRPr="000A2B5A" w:rsidRDefault="008011DC" w:rsidP="00F35647">
      <w:pPr>
        <w:pStyle w:val="Prrafodelista"/>
        <w:numPr>
          <w:ilvl w:val="0"/>
          <w:numId w:val="7"/>
        </w:numPr>
        <w:spacing w:line="240" w:lineRule="auto"/>
        <w:ind w:left="567" w:hanging="567"/>
        <w:jc w:val="both"/>
        <w:rPr>
          <w:rFonts w:ascii="Verdana" w:hAnsi="Verdana"/>
          <w:sz w:val="20"/>
          <w:szCs w:val="20"/>
        </w:rPr>
      </w:pPr>
      <w:r w:rsidRPr="000A2B5A">
        <w:rPr>
          <w:rFonts w:ascii="Verdana" w:hAnsi="Verdana"/>
          <w:sz w:val="20"/>
          <w:szCs w:val="20"/>
        </w:rPr>
        <w:t>Los fondos mutuos de inversión deben gestionar los riesgos ambientales y sociales, incluidos los climáticos, en sus procesos de inversión, teniendo en cuenta su estrategia de negocio, el principio de relevancia y los regímenes de inversión dispuestos en las normas vigentes. En todo caso, estos regímenes de inversión tendrán aplicación prevalente, en caso de conflicto entre dichos regímenes y la gestión de los riesgos ambientales y sociales, incluidos los climáticos.</w:t>
      </w:r>
    </w:p>
    <w:p w14:paraId="7F0148A2" w14:textId="0F2C6C2D" w:rsidR="008011DC" w:rsidRPr="000A2B5A" w:rsidRDefault="006C6B84" w:rsidP="00832408">
      <w:pPr>
        <w:spacing w:line="240" w:lineRule="auto"/>
        <w:jc w:val="both"/>
        <w:rPr>
          <w:rFonts w:ascii="Verdana" w:hAnsi="Verdana"/>
          <w:b/>
          <w:bCs/>
          <w:sz w:val="20"/>
          <w:szCs w:val="20"/>
        </w:rPr>
      </w:pPr>
      <w:r w:rsidRPr="000A2B5A">
        <w:rPr>
          <w:rFonts w:ascii="Verdana" w:hAnsi="Verdana"/>
          <w:b/>
          <w:bCs/>
          <w:sz w:val="20"/>
          <w:szCs w:val="20"/>
        </w:rPr>
        <w:t>PRINCIPIO DE RELEVANCIA</w:t>
      </w:r>
    </w:p>
    <w:p w14:paraId="5DCBCAE9" w14:textId="03F81D41" w:rsidR="000A2B5A" w:rsidRDefault="000A2B5A" w:rsidP="000A2B5A">
      <w:pPr>
        <w:spacing w:after="0" w:line="240" w:lineRule="auto"/>
        <w:jc w:val="both"/>
        <w:rPr>
          <w:rFonts w:ascii="Verdana" w:hAnsi="Verdana"/>
          <w:sz w:val="20"/>
          <w:szCs w:val="20"/>
        </w:rPr>
      </w:pPr>
      <w:r>
        <w:rPr>
          <w:rFonts w:ascii="Verdana" w:hAnsi="Verdana"/>
          <w:sz w:val="20"/>
          <w:szCs w:val="20"/>
        </w:rPr>
        <w:t>1.4.1.9.</w:t>
      </w:r>
    </w:p>
    <w:p w14:paraId="26BDACA9" w14:textId="03CD76B1"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Las entidades no están obligadas a aplicar políticas ni procedimientos de gestión del riesgo ambiental y social, incluido el climático, a los productos y servicios, incluyendo actividades de inversión, que involucren a clientes, usuarios, territorios o sectores económicos con baja exposición a estos riesgos.</w:t>
      </w:r>
    </w:p>
    <w:p w14:paraId="007B488A" w14:textId="0959935D" w:rsidR="000A2B5A" w:rsidRDefault="000A2B5A" w:rsidP="000A2B5A">
      <w:pPr>
        <w:spacing w:after="0" w:line="240" w:lineRule="auto"/>
        <w:jc w:val="both"/>
        <w:rPr>
          <w:rFonts w:ascii="Verdana" w:hAnsi="Verdana"/>
          <w:sz w:val="20"/>
          <w:szCs w:val="20"/>
        </w:rPr>
      </w:pPr>
      <w:r>
        <w:rPr>
          <w:rFonts w:ascii="Verdana" w:hAnsi="Verdana"/>
          <w:sz w:val="20"/>
          <w:szCs w:val="20"/>
        </w:rPr>
        <w:t>1.4.1.10.</w:t>
      </w:r>
    </w:p>
    <w:p w14:paraId="649C4D3E" w14:textId="0731359E" w:rsidR="008011DC" w:rsidRDefault="008011DC" w:rsidP="00F35647">
      <w:pPr>
        <w:spacing w:after="0" w:line="240" w:lineRule="auto"/>
        <w:jc w:val="both"/>
        <w:rPr>
          <w:rFonts w:ascii="Verdana" w:hAnsi="Verdana"/>
          <w:sz w:val="20"/>
          <w:szCs w:val="20"/>
        </w:rPr>
      </w:pPr>
      <w:r w:rsidRPr="008011DC">
        <w:rPr>
          <w:rFonts w:ascii="Verdana" w:hAnsi="Verdana"/>
          <w:sz w:val="20"/>
          <w:szCs w:val="20"/>
        </w:rPr>
        <w:t xml:space="preserve">Adicionalmente, las entidades podrán fijar umbrales de materialidad, sustentados en el análisis previsto en </w:t>
      </w:r>
      <w:r w:rsidR="002116D5">
        <w:rPr>
          <w:rFonts w:ascii="Verdana" w:hAnsi="Verdana"/>
          <w:sz w:val="20"/>
          <w:szCs w:val="20"/>
        </w:rPr>
        <w:t xml:space="preserve">los párrafos 1.4.1.14. </w:t>
      </w:r>
      <w:r w:rsidR="0058176B">
        <w:rPr>
          <w:rFonts w:ascii="Verdana" w:hAnsi="Verdana"/>
          <w:sz w:val="20"/>
          <w:szCs w:val="20"/>
        </w:rPr>
        <w:t>al 1.4.1.17. del</w:t>
      </w:r>
      <w:r w:rsidRPr="008011DC">
        <w:rPr>
          <w:rFonts w:ascii="Verdana" w:hAnsi="Verdana"/>
          <w:sz w:val="20"/>
          <w:szCs w:val="20"/>
        </w:rPr>
        <w:t xml:space="preserve"> presente Capítulo, para determinar los productos y servicios, incluidas las actividades de inversión, que puedan excluirse de la gestión del riesgo ambiental y social, incluido el climático. </w:t>
      </w:r>
    </w:p>
    <w:p w14:paraId="6112CF6F" w14:textId="77777777" w:rsidR="00F35647" w:rsidRPr="008011DC" w:rsidRDefault="00F35647" w:rsidP="00F35647">
      <w:pPr>
        <w:spacing w:after="0" w:line="240" w:lineRule="auto"/>
        <w:jc w:val="both"/>
        <w:rPr>
          <w:rFonts w:ascii="Verdana" w:hAnsi="Verdana"/>
          <w:sz w:val="20"/>
          <w:szCs w:val="20"/>
        </w:rPr>
      </w:pPr>
    </w:p>
    <w:p w14:paraId="1E566719" w14:textId="2414B380" w:rsidR="000A2B5A" w:rsidRDefault="000A2B5A" w:rsidP="000A2B5A">
      <w:pPr>
        <w:spacing w:after="0" w:line="240" w:lineRule="auto"/>
        <w:jc w:val="both"/>
        <w:rPr>
          <w:rFonts w:ascii="Verdana" w:hAnsi="Verdana"/>
          <w:sz w:val="20"/>
          <w:szCs w:val="20"/>
        </w:rPr>
      </w:pPr>
      <w:r>
        <w:rPr>
          <w:rFonts w:ascii="Verdana" w:hAnsi="Verdana"/>
          <w:sz w:val="20"/>
          <w:szCs w:val="20"/>
        </w:rPr>
        <w:t>1.4.1.11.</w:t>
      </w:r>
    </w:p>
    <w:p w14:paraId="12E6E0C3" w14:textId="510FAE66"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El referido análisis debe estar debidamente documentado y a disposición de la SFC.</w:t>
      </w:r>
    </w:p>
    <w:p w14:paraId="3E4949B2" w14:textId="1E34C29A" w:rsidR="008011DC" w:rsidRPr="000A2B5A" w:rsidRDefault="006C6B84" w:rsidP="00832408">
      <w:pPr>
        <w:spacing w:line="240" w:lineRule="auto"/>
        <w:jc w:val="both"/>
        <w:rPr>
          <w:rFonts w:ascii="Verdana" w:hAnsi="Verdana"/>
          <w:b/>
          <w:bCs/>
          <w:sz w:val="20"/>
          <w:szCs w:val="20"/>
        </w:rPr>
      </w:pPr>
      <w:r w:rsidRPr="000A2B5A">
        <w:rPr>
          <w:rFonts w:ascii="Verdana" w:hAnsi="Verdana"/>
          <w:b/>
          <w:bCs/>
          <w:sz w:val="20"/>
          <w:szCs w:val="20"/>
        </w:rPr>
        <w:lastRenderedPageBreak/>
        <w:t>ETAPAS</w:t>
      </w:r>
    </w:p>
    <w:p w14:paraId="2EE81BF5" w14:textId="30402B86" w:rsidR="000A2B5A" w:rsidRDefault="000A2B5A" w:rsidP="000A2B5A">
      <w:pPr>
        <w:spacing w:after="0" w:line="240" w:lineRule="auto"/>
        <w:jc w:val="both"/>
        <w:rPr>
          <w:rFonts w:ascii="Verdana" w:hAnsi="Verdana"/>
          <w:sz w:val="20"/>
          <w:szCs w:val="20"/>
        </w:rPr>
      </w:pPr>
      <w:r>
        <w:rPr>
          <w:rFonts w:ascii="Verdana" w:hAnsi="Verdana"/>
          <w:sz w:val="20"/>
          <w:szCs w:val="20"/>
        </w:rPr>
        <w:t>1.4.1.12.</w:t>
      </w:r>
    </w:p>
    <w:p w14:paraId="4C87CB4C" w14:textId="77777777"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 xml:space="preserve">Las entidades deben desarrollar las siguientes etapas en la gestión del riesgo ambiental y social, incluido el climático, de acuerdo con la información disponible en cada etapa. </w:t>
      </w:r>
    </w:p>
    <w:p w14:paraId="33F69A1E" w14:textId="7F2A9945" w:rsidR="000A2B5A" w:rsidRDefault="000A2B5A" w:rsidP="000A2B5A">
      <w:pPr>
        <w:spacing w:after="0" w:line="240" w:lineRule="auto"/>
        <w:jc w:val="both"/>
        <w:rPr>
          <w:rFonts w:ascii="Verdana" w:hAnsi="Verdana"/>
          <w:sz w:val="20"/>
          <w:szCs w:val="20"/>
        </w:rPr>
      </w:pPr>
      <w:r>
        <w:rPr>
          <w:rFonts w:ascii="Verdana" w:hAnsi="Verdana"/>
          <w:sz w:val="20"/>
          <w:szCs w:val="20"/>
        </w:rPr>
        <w:t>1.4.1.13.</w:t>
      </w:r>
    </w:p>
    <w:p w14:paraId="6555F244" w14:textId="28D0E872"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 xml:space="preserve">Para tal efecto, las entidades deben considerar las particularidades del tipo de actividad, operación, negocio, activo y/o inversión. Igualmente, en el marco de dicha gestión, las entidades pueden considerar los efectos positivos derivados del cumplimiento voluntario de objetivos ambientales, sociales o climáticos definidos por la entidad, así como las oportunidades asociadas a dichos asuntos, cuando resulte aplicable, con el fin de contar con una visión integral de la gestión de estos asuntos por parte de las entidades.  </w:t>
      </w:r>
    </w:p>
    <w:p w14:paraId="72DBCABD" w14:textId="28CD0485" w:rsidR="008011DC" w:rsidRPr="000A2B5A" w:rsidRDefault="008011DC" w:rsidP="00F35647">
      <w:pPr>
        <w:pStyle w:val="Prrafodelista"/>
        <w:numPr>
          <w:ilvl w:val="0"/>
          <w:numId w:val="8"/>
        </w:numPr>
        <w:spacing w:line="240" w:lineRule="auto"/>
        <w:ind w:left="567" w:hanging="567"/>
        <w:jc w:val="both"/>
        <w:rPr>
          <w:rFonts w:ascii="Verdana" w:hAnsi="Verdana"/>
          <w:b/>
          <w:bCs/>
          <w:sz w:val="20"/>
          <w:szCs w:val="20"/>
        </w:rPr>
      </w:pPr>
      <w:r w:rsidRPr="000A2B5A">
        <w:rPr>
          <w:rFonts w:ascii="Verdana" w:hAnsi="Verdana"/>
          <w:b/>
          <w:bCs/>
          <w:sz w:val="20"/>
          <w:szCs w:val="20"/>
        </w:rPr>
        <w:t>Identificación</w:t>
      </w:r>
    </w:p>
    <w:p w14:paraId="5C3318DD" w14:textId="3F7F1D91" w:rsidR="000A2B5A" w:rsidRDefault="000A2B5A" w:rsidP="000A2B5A">
      <w:pPr>
        <w:spacing w:after="0" w:line="240" w:lineRule="auto"/>
        <w:jc w:val="both"/>
        <w:rPr>
          <w:rFonts w:ascii="Verdana" w:hAnsi="Verdana"/>
          <w:sz w:val="20"/>
          <w:szCs w:val="20"/>
        </w:rPr>
      </w:pPr>
      <w:r>
        <w:rPr>
          <w:rFonts w:ascii="Verdana" w:hAnsi="Verdana"/>
          <w:sz w:val="20"/>
          <w:szCs w:val="20"/>
        </w:rPr>
        <w:t>1.4.1.14.</w:t>
      </w:r>
    </w:p>
    <w:p w14:paraId="4366BB96" w14:textId="56F08326"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 xml:space="preserve">Las entidades deben identificar los factores de riesgo ambientales y sociales, incluidos los climáticos, que pueden afectar de manera significativa su situación financiera. Para tal fin, las entidades deben identificar: </w:t>
      </w:r>
    </w:p>
    <w:p w14:paraId="0001CFD4" w14:textId="41CFC897" w:rsidR="008011DC" w:rsidRDefault="008011DC" w:rsidP="00F35647">
      <w:pPr>
        <w:pStyle w:val="Prrafodelista"/>
        <w:numPr>
          <w:ilvl w:val="0"/>
          <w:numId w:val="9"/>
        </w:numPr>
        <w:spacing w:line="240" w:lineRule="auto"/>
        <w:ind w:left="567" w:hanging="567"/>
        <w:jc w:val="both"/>
        <w:rPr>
          <w:rFonts w:ascii="Verdana" w:hAnsi="Verdana"/>
          <w:sz w:val="20"/>
          <w:szCs w:val="20"/>
        </w:rPr>
      </w:pPr>
      <w:r w:rsidRPr="000A2B5A">
        <w:rPr>
          <w:rFonts w:ascii="Verdana" w:hAnsi="Verdana"/>
          <w:sz w:val="20"/>
          <w:szCs w:val="20"/>
        </w:rPr>
        <w:t>Los factores de riesgo y los tipos de eventos que se podrían materializar</w:t>
      </w:r>
      <w:r w:rsidR="000A2B5A">
        <w:rPr>
          <w:rFonts w:ascii="Verdana" w:hAnsi="Verdana"/>
          <w:sz w:val="20"/>
          <w:szCs w:val="20"/>
        </w:rPr>
        <w:t>.</w:t>
      </w:r>
    </w:p>
    <w:p w14:paraId="02D69C2A" w14:textId="77777777" w:rsidR="000A2B5A" w:rsidRPr="000A2B5A" w:rsidRDefault="000A2B5A" w:rsidP="00F35647">
      <w:pPr>
        <w:pStyle w:val="Prrafodelista"/>
        <w:spacing w:line="240" w:lineRule="auto"/>
        <w:ind w:left="567" w:hanging="567"/>
        <w:jc w:val="both"/>
        <w:rPr>
          <w:rFonts w:ascii="Verdana" w:hAnsi="Verdana"/>
          <w:sz w:val="20"/>
          <w:szCs w:val="20"/>
        </w:rPr>
      </w:pPr>
    </w:p>
    <w:p w14:paraId="5BFF9653" w14:textId="66AD2DEF" w:rsidR="008011DC" w:rsidRPr="000A2B5A" w:rsidRDefault="008011DC" w:rsidP="00F35647">
      <w:pPr>
        <w:pStyle w:val="Prrafodelista"/>
        <w:numPr>
          <w:ilvl w:val="0"/>
          <w:numId w:val="9"/>
        </w:numPr>
        <w:spacing w:line="240" w:lineRule="auto"/>
        <w:ind w:left="567" w:hanging="567"/>
        <w:jc w:val="both"/>
        <w:rPr>
          <w:rFonts w:ascii="Verdana" w:hAnsi="Verdana"/>
          <w:sz w:val="20"/>
          <w:szCs w:val="20"/>
        </w:rPr>
      </w:pPr>
      <w:r w:rsidRPr="000A2B5A">
        <w:rPr>
          <w:rFonts w:ascii="Verdana" w:hAnsi="Verdana"/>
          <w:sz w:val="20"/>
          <w:szCs w:val="20"/>
        </w:rPr>
        <w:t>Los sectores económicos y territorios en los que presta y ofrece sus productos y servicios, o realiza sus actividades de inversión, y que presentan mayor exposición a los factores de riesgo ambientales y sociales, incluyendo aquellos que son altamente sensibles al cambio climático. Para el efecto, las entidades deben determinar la granularidad y el grado de focalización territorial que corresponda, conforme a las necesidades de su gestión del riesgo.</w:t>
      </w:r>
    </w:p>
    <w:p w14:paraId="3F7FA4A3" w14:textId="094A192A" w:rsidR="000A2B5A" w:rsidRDefault="000A2B5A" w:rsidP="000A2B5A">
      <w:pPr>
        <w:spacing w:after="0" w:line="240" w:lineRule="auto"/>
        <w:jc w:val="both"/>
        <w:rPr>
          <w:rFonts w:ascii="Verdana" w:hAnsi="Verdana"/>
          <w:sz w:val="20"/>
          <w:szCs w:val="20"/>
        </w:rPr>
      </w:pPr>
      <w:r>
        <w:rPr>
          <w:rFonts w:ascii="Verdana" w:hAnsi="Verdana"/>
          <w:sz w:val="20"/>
          <w:szCs w:val="20"/>
        </w:rPr>
        <w:t>1.4.1.15.</w:t>
      </w:r>
    </w:p>
    <w:p w14:paraId="7736DDF1" w14:textId="207221C8"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Para este análisis, las entidades deben establecer umbrales de materialidad basados en su apetito de riesgo y en el potencial impacto de la materialización de los riesgos identificados, de acuerdo con la información disponible. Como tal, solo se debe ejecutar la etapa de identificación cuando se cumpla el criterio de materialidad definido por la entidad.</w:t>
      </w:r>
    </w:p>
    <w:p w14:paraId="0EED670E" w14:textId="11BD2D44" w:rsidR="008011DC" w:rsidRPr="008011DC" w:rsidRDefault="000A2B5A" w:rsidP="000A2B5A">
      <w:pPr>
        <w:spacing w:after="0" w:line="240" w:lineRule="auto"/>
        <w:jc w:val="both"/>
        <w:rPr>
          <w:rFonts w:ascii="Verdana" w:hAnsi="Verdana"/>
          <w:sz w:val="20"/>
          <w:szCs w:val="20"/>
        </w:rPr>
      </w:pPr>
      <w:r>
        <w:rPr>
          <w:rFonts w:ascii="Verdana" w:hAnsi="Verdana"/>
          <w:sz w:val="20"/>
          <w:szCs w:val="20"/>
        </w:rPr>
        <w:t>1.4.1.16.</w:t>
      </w:r>
    </w:p>
    <w:p w14:paraId="44974B58" w14:textId="77777777"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 xml:space="preserve">Se entiende por umbrales de materialidad, los criterios definidos por la entidad para determinar los productos, servicios, o activos, que involucren a clientes, usuarios, territorios o sectores económicos con alta exposición al riesgo ambiental y social, incluido el climático; así como los productos, servicios o activos que están dirigidos a clientes, usuarios, territorios o sectores económicos que, por sus características, deben estar excluidos de la gestión del riesgo ambiental y social, incluido el climático, de acuerdo con los análisis realizados por cada entidad. </w:t>
      </w:r>
    </w:p>
    <w:p w14:paraId="631C14BF" w14:textId="77777777" w:rsidR="000A2B5A" w:rsidRDefault="000A2B5A" w:rsidP="000A2B5A">
      <w:pPr>
        <w:spacing w:after="0" w:line="240" w:lineRule="auto"/>
        <w:jc w:val="both"/>
        <w:rPr>
          <w:rFonts w:ascii="Verdana" w:hAnsi="Verdana"/>
          <w:sz w:val="20"/>
          <w:szCs w:val="20"/>
        </w:rPr>
      </w:pPr>
      <w:r>
        <w:rPr>
          <w:rFonts w:ascii="Verdana" w:hAnsi="Verdana"/>
          <w:sz w:val="20"/>
          <w:szCs w:val="20"/>
        </w:rPr>
        <w:t>1.4.1.17.</w:t>
      </w:r>
    </w:p>
    <w:p w14:paraId="1F592C0F" w14:textId="65FBDC25" w:rsidR="000A2B5A" w:rsidRDefault="008011DC" w:rsidP="006C6B84">
      <w:pPr>
        <w:spacing w:after="0" w:line="240" w:lineRule="auto"/>
        <w:jc w:val="both"/>
        <w:rPr>
          <w:rFonts w:ascii="Verdana" w:hAnsi="Verdana"/>
          <w:sz w:val="20"/>
          <w:szCs w:val="20"/>
        </w:rPr>
      </w:pPr>
      <w:r w:rsidRPr="008011DC">
        <w:rPr>
          <w:rFonts w:ascii="Verdana" w:hAnsi="Verdana"/>
          <w:sz w:val="20"/>
          <w:szCs w:val="20"/>
        </w:rPr>
        <w:t xml:space="preserve">La identificación de factores de riesgo ambientales y sociales, incluidos los climáticos, no implica ningún tipo de limitación para el ofrecimiento de productos y servicios financieros por parte de las entidades vigiladas. </w:t>
      </w:r>
    </w:p>
    <w:p w14:paraId="580379E2" w14:textId="77777777" w:rsidR="006C6B84" w:rsidRPr="006C6B84" w:rsidRDefault="006C6B84" w:rsidP="006C6B84">
      <w:pPr>
        <w:spacing w:after="0" w:line="240" w:lineRule="auto"/>
        <w:jc w:val="both"/>
        <w:rPr>
          <w:rFonts w:ascii="Verdana" w:hAnsi="Verdana"/>
          <w:sz w:val="20"/>
          <w:szCs w:val="20"/>
        </w:rPr>
      </w:pPr>
    </w:p>
    <w:p w14:paraId="55C38E82" w14:textId="1D0EC592" w:rsidR="008011DC" w:rsidRPr="000A2B5A" w:rsidRDefault="008011DC" w:rsidP="00E260C1">
      <w:pPr>
        <w:pStyle w:val="Prrafodelista"/>
        <w:numPr>
          <w:ilvl w:val="0"/>
          <w:numId w:val="8"/>
        </w:numPr>
        <w:spacing w:line="240" w:lineRule="auto"/>
        <w:ind w:left="567" w:hanging="567"/>
        <w:jc w:val="both"/>
        <w:rPr>
          <w:rFonts w:ascii="Verdana" w:hAnsi="Verdana"/>
          <w:b/>
          <w:bCs/>
          <w:sz w:val="20"/>
          <w:szCs w:val="20"/>
        </w:rPr>
      </w:pPr>
      <w:r w:rsidRPr="000A2B5A">
        <w:rPr>
          <w:rFonts w:ascii="Verdana" w:hAnsi="Verdana"/>
          <w:b/>
          <w:bCs/>
          <w:sz w:val="20"/>
          <w:szCs w:val="20"/>
        </w:rPr>
        <w:t xml:space="preserve">Medición </w:t>
      </w:r>
    </w:p>
    <w:p w14:paraId="6A1FB92B" w14:textId="4E9A8921" w:rsidR="000A2B5A" w:rsidRDefault="000A2B5A" w:rsidP="000A2B5A">
      <w:pPr>
        <w:spacing w:after="0" w:line="240" w:lineRule="auto"/>
        <w:jc w:val="both"/>
        <w:rPr>
          <w:rFonts w:ascii="Verdana" w:hAnsi="Verdana"/>
          <w:sz w:val="20"/>
          <w:szCs w:val="20"/>
        </w:rPr>
      </w:pPr>
      <w:r>
        <w:rPr>
          <w:rFonts w:ascii="Verdana" w:hAnsi="Verdana"/>
          <w:sz w:val="20"/>
          <w:szCs w:val="20"/>
        </w:rPr>
        <w:t>1.4.1.18.</w:t>
      </w:r>
    </w:p>
    <w:p w14:paraId="6B485749" w14:textId="34BCEEF5" w:rsidR="008011DC" w:rsidRDefault="008011DC" w:rsidP="000A2B5A">
      <w:pPr>
        <w:spacing w:after="0" w:line="240" w:lineRule="auto"/>
        <w:jc w:val="both"/>
        <w:rPr>
          <w:rFonts w:ascii="Verdana" w:hAnsi="Verdana"/>
          <w:sz w:val="20"/>
          <w:szCs w:val="20"/>
        </w:rPr>
      </w:pPr>
      <w:r w:rsidRPr="008011DC">
        <w:rPr>
          <w:rFonts w:ascii="Verdana" w:hAnsi="Verdana"/>
          <w:sz w:val="20"/>
          <w:szCs w:val="20"/>
        </w:rPr>
        <w:t xml:space="preserve">Las entidades deben evaluar la manera en que los factores de riesgo ambientales y sociales, incluidos los climáticos, identificados en desarrollo del numeral anterior, pueden afectar su situación financiera. Para el efecto, las entidades deben determinar el valor total de sus activos expuestos a sectores económicos, industrias y geografías vulnerables a los riesgos climáticos, sin perjuicio de las reglas previstas </w:t>
      </w:r>
      <w:r w:rsidR="00803FF4">
        <w:rPr>
          <w:rFonts w:ascii="Verdana" w:hAnsi="Verdana"/>
          <w:sz w:val="20"/>
          <w:szCs w:val="20"/>
        </w:rPr>
        <w:t>en los párrafos 1.4.1.7. y 1.4.1.8.</w:t>
      </w:r>
      <w:r w:rsidRPr="008011DC">
        <w:rPr>
          <w:rFonts w:ascii="Verdana" w:hAnsi="Verdana"/>
          <w:sz w:val="20"/>
          <w:szCs w:val="20"/>
        </w:rPr>
        <w:t xml:space="preserve"> del presente Capítulo.</w:t>
      </w:r>
    </w:p>
    <w:p w14:paraId="54527E1C" w14:textId="77777777" w:rsidR="000A2B5A" w:rsidRPr="008011DC" w:rsidRDefault="000A2B5A" w:rsidP="000A2B5A">
      <w:pPr>
        <w:spacing w:after="0" w:line="240" w:lineRule="auto"/>
        <w:jc w:val="both"/>
        <w:rPr>
          <w:rFonts w:ascii="Verdana" w:hAnsi="Verdana"/>
          <w:sz w:val="20"/>
          <w:szCs w:val="20"/>
        </w:rPr>
      </w:pPr>
    </w:p>
    <w:p w14:paraId="3DE2F009" w14:textId="4FF8F051" w:rsidR="000A2B5A" w:rsidRDefault="000A2B5A" w:rsidP="000A2B5A">
      <w:pPr>
        <w:spacing w:after="0" w:line="240" w:lineRule="auto"/>
        <w:jc w:val="both"/>
        <w:rPr>
          <w:rFonts w:ascii="Verdana" w:hAnsi="Verdana"/>
          <w:sz w:val="20"/>
          <w:szCs w:val="20"/>
        </w:rPr>
      </w:pPr>
      <w:r>
        <w:rPr>
          <w:rFonts w:ascii="Verdana" w:hAnsi="Verdana"/>
          <w:sz w:val="20"/>
          <w:szCs w:val="20"/>
        </w:rPr>
        <w:t>1.4.1.19.</w:t>
      </w:r>
    </w:p>
    <w:p w14:paraId="09E193A8" w14:textId="4118D4A6"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Igualmente, las entidades pueden utilizar voluntariamente los indicadores de referencia y las fuentes de información previstas en el Anexo 1 del presente Capítulo, siempre que estos se encuentren en línea con los factores de riesgo ambientales y sociales identificados en cumplimiento de lo previsto en</w:t>
      </w:r>
      <w:r w:rsidR="00803FF4" w:rsidRPr="008011DC">
        <w:rPr>
          <w:rFonts w:ascii="Verdana" w:hAnsi="Verdana"/>
          <w:sz w:val="20"/>
          <w:szCs w:val="20"/>
        </w:rPr>
        <w:t xml:space="preserve"> </w:t>
      </w:r>
      <w:r w:rsidR="00803FF4">
        <w:rPr>
          <w:rFonts w:ascii="Verdana" w:hAnsi="Verdana"/>
          <w:sz w:val="20"/>
          <w:szCs w:val="20"/>
        </w:rPr>
        <w:t>los párrafos 1.4.1.14. al 1.4.1.17. del</w:t>
      </w:r>
      <w:r w:rsidR="00803FF4" w:rsidRPr="008011DC">
        <w:rPr>
          <w:rFonts w:ascii="Verdana" w:hAnsi="Verdana"/>
          <w:sz w:val="20"/>
          <w:szCs w:val="20"/>
        </w:rPr>
        <w:t xml:space="preserve"> </w:t>
      </w:r>
      <w:r w:rsidRPr="008011DC">
        <w:rPr>
          <w:rFonts w:ascii="Verdana" w:hAnsi="Verdana"/>
          <w:sz w:val="20"/>
          <w:szCs w:val="20"/>
        </w:rPr>
        <w:t>presente Capítulo.</w:t>
      </w:r>
    </w:p>
    <w:p w14:paraId="7BBCCE09" w14:textId="1C8F0BF2" w:rsidR="000A2B5A" w:rsidRDefault="000A2B5A" w:rsidP="000A2B5A">
      <w:pPr>
        <w:spacing w:after="0" w:line="240" w:lineRule="auto"/>
        <w:jc w:val="both"/>
        <w:rPr>
          <w:rFonts w:ascii="Verdana" w:hAnsi="Verdana"/>
          <w:sz w:val="20"/>
          <w:szCs w:val="20"/>
        </w:rPr>
      </w:pPr>
      <w:r>
        <w:rPr>
          <w:rFonts w:ascii="Verdana" w:hAnsi="Verdana"/>
          <w:sz w:val="20"/>
          <w:szCs w:val="20"/>
        </w:rPr>
        <w:t>1.4.1.20.</w:t>
      </w:r>
    </w:p>
    <w:p w14:paraId="2DEA3B72" w14:textId="77777777"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Adicionalmente, las entidades pueden adoptar voluntariamente instrumentos de medición adicionales, tales como: nuevos indicadores, fuentes de información y estándares internacionales que consideren convenientes de conformidad con sus políticas internas y estrategia de negocio.</w:t>
      </w:r>
    </w:p>
    <w:p w14:paraId="0DF74CB9" w14:textId="0DF75D24" w:rsidR="008011DC" w:rsidRPr="008011DC" w:rsidRDefault="000A2B5A" w:rsidP="000A2B5A">
      <w:pPr>
        <w:spacing w:after="0" w:line="240" w:lineRule="auto"/>
        <w:jc w:val="both"/>
        <w:rPr>
          <w:rFonts w:ascii="Verdana" w:hAnsi="Verdana"/>
          <w:sz w:val="20"/>
          <w:szCs w:val="20"/>
        </w:rPr>
      </w:pPr>
      <w:r>
        <w:rPr>
          <w:rFonts w:ascii="Verdana" w:hAnsi="Verdana"/>
          <w:sz w:val="20"/>
          <w:szCs w:val="20"/>
        </w:rPr>
        <w:lastRenderedPageBreak/>
        <w:t>1.4.1.21.</w:t>
      </w:r>
    </w:p>
    <w:p w14:paraId="6347138C" w14:textId="77777777"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 xml:space="preserve">La referida medición debe considerar de forma diferencial los factores de riesgo que cuenten y no cuenten con información disponible, y debe quedar documentada y estar a disposición de la SFC. </w:t>
      </w:r>
    </w:p>
    <w:p w14:paraId="7FCF8C6A" w14:textId="22163857" w:rsidR="008011DC" w:rsidRPr="00E260C1" w:rsidRDefault="008011DC" w:rsidP="00E260C1">
      <w:pPr>
        <w:pStyle w:val="Prrafodelista"/>
        <w:numPr>
          <w:ilvl w:val="0"/>
          <w:numId w:val="14"/>
        </w:numPr>
        <w:spacing w:line="240" w:lineRule="auto"/>
        <w:ind w:left="567" w:hanging="567"/>
        <w:jc w:val="both"/>
        <w:rPr>
          <w:rFonts w:ascii="Verdana" w:hAnsi="Verdana"/>
          <w:b/>
          <w:bCs/>
          <w:sz w:val="20"/>
          <w:szCs w:val="20"/>
        </w:rPr>
      </w:pPr>
      <w:r w:rsidRPr="00E260C1">
        <w:rPr>
          <w:rFonts w:ascii="Verdana" w:hAnsi="Verdana"/>
          <w:b/>
          <w:bCs/>
          <w:sz w:val="20"/>
          <w:szCs w:val="20"/>
        </w:rPr>
        <w:t>Control</w:t>
      </w:r>
    </w:p>
    <w:p w14:paraId="1CEBD651" w14:textId="5C3861C5" w:rsidR="000A2B5A" w:rsidRPr="008011DC" w:rsidRDefault="000A2B5A" w:rsidP="000A2B5A">
      <w:pPr>
        <w:spacing w:after="0" w:line="240" w:lineRule="auto"/>
        <w:jc w:val="both"/>
        <w:rPr>
          <w:rFonts w:ascii="Verdana" w:hAnsi="Verdana"/>
          <w:sz w:val="20"/>
          <w:szCs w:val="20"/>
        </w:rPr>
      </w:pPr>
      <w:r>
        <w:rPr>
          <w:rFonts w:ascii="Verdana" w:hAnsi="Verdana"/>
          <w:sz w:val="20"/>
          <w:szCs w:val="20"/>
        </w:rPr>
        <w:t>1.4.1.22.</w:t>
      </w:r>
    </w:p>
    <w:p w14:paraId="485D6873" w14:textId="4A78A5E5"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Las entidades deben adoptar medidas para controlar su exposición a riesgos ambientales y sociales, incluidos los climáticos, que hayan sido identificados después de aplicar el principio de proporcionalidad y relevancia. Estas medidas deben, como mínimo:</w:t>
      </w:r>
    </w:p>
    <w:p w14:paraId="4CD2D69C" w14:textId="3EC30DB2" w:rsidR="008011DC" w:rsidRDefault="008011DC" w:rsidP="00E260C1">
      <w:pPr>
        <w:pStyle w:val="Prrafodelista"/>
        <w:numPr>
          <w:ilvl w:val="0"/>
          <w:numId w:val="10"/>
        </w:numPr>
        <w:spacing w:line="240" w:lineRule="auto"/>
        <w:ind w:left="567" w:hanging="567"/>
        <w:jc w:val="both"/>
        <w:rPr>
          <w:rFonts w:ascii="Verdana" w:hAnsi="Verdana"/>
          <w:sz w:val="20"/>
          <w:szCs w:val="20"/>
        </w:rPr>
      </w:pPr>
      <w:r w:rsidRPr="000A2B5A">
        <w:rPr>
          <w:rFonts w:ascii="Verdana" w:hAnsi="Verdana"/>
          <w:sz w:val="20"/>
          <w:szCs w:val="20"/>
        </w:rPr>
        <w:t xml:space="preserve">Considerar el plan de negocio, la política de inversión, los mecanismos y procedimientos para la realización de las operaciones, así como los factores de riesgo ambientales y sociales, incluidos los climáticos, identificados en </w:t>
      </w:r>
      <w:r w:rsidR="00803FF4">
        <w:rPr>
          <w:rFonts w:ascii="Verdana" w:hAnsi="Verdana"/>
          <w:sz w:val="20"/>
          <w:szCs w:val="20"/>
        </w:rPr>
        <w:t>los párrafos 1.4.1.14. al 1.4.1.17. del</w:t>
      </w:r>
      <w:r w:rsidR="00803FF4" w:rsidRPr="008011DC">
        <w:rPr>
          <w:rFonts w:ascii="Verdana" w:hAnsi="Verdana"/>
          <w:sz w:val="20"/>
          <w:szCs w:val="20"/>
        </w:rPr>
        <w:t xml:space="preserve"> </w:t>
      </w:r>
      <w:r w:rsidRPr="000A2B5A">
        <w:rPr>
          <w:rFonts w:ascii="Verdana" w:hAnsi="Verdana"/>
          <w:sz w:val="20"/>
          <w:szCs w:val="20"/>
        </w:rPr>
        <w:t xml:space="preserve">presente Capítulo. </w:t>
      </w:r>
    </w:p>
    <w:p w14:paraId="2570907E" w14:textId="77777777" w:rsidR="000A2B5A" w:rsidRPr="000A2B5A" w:rsidRDefault="000A2B5A" w:rsidP="00E260C1">
      <w:pPr>
        <w:pStyle w:val="Prrafodelista"/>
        <w:spacing w:line="240" w:lineRule="auto"/>
        <w:ind w:left="567" w:hanging="567"/>
        <w:jc w:val="both"/>
        <w:rPr>
          <w:rFonts w:ascii="Verdana" w:hAnsi="Verdana"/>
          <w:sz w:val="20"/>
          <w:szCs w:val="20"/>
        </w:rPr>
      </w:pPr>
    </w:p>
    <w:p w14:paraId="4F800B2B" w14:textId="63679BE8" w:rsidR="008011DC" w:rsidRPr="000A2B5A" w:rsidRDefault="008011DC" w:rsidP="00E260C1">
      <w:pPr>
        <w:pStyle w:val="Prrafodelista"/>
        <w:numPr>
          <w:ilvl w:val="0"/>
          <w:numId w:val="10"/>
        </w:numPr>
        <w:spacing w:line="240" w:lineRule="auto"/>
        <w:ind w:left="567" w:hanging="567"/>
        <w:jc w:val="both"/>
        <w:rPr>
          <w:rFonts w:ascii="Verdana" w:hAnsi="Verdana"/>
          <w:sz w:val="20"/>
          <w:szCs w:val="20"/>
        </w:rPr>
      </w:pPr>
      <w:r w:rsidRPr="000A2B5A">
        <w:rPr>
          <w:rFonts w:ascii="Verdana" w:hAnsi="Verdana"/>
          <w:sz w:val="20"/>
          <w:szCs w:val="20"/>
        </w:rPr>
        <w:t xml:space="preserve">Ser flexibles y adaptables a los cambios en los factores de riesgo ambientales y sociales, incluidos los climáticos, identificados por la entidad. </w:t>
      </w:r>
    </w:p>
    <w:p w14:paraId="7F76A386" w14:textId="77777777" w:rsidR="000A2B5A" w:rsidRDefault="000A2B5A" w:rsidP="000A2B5A">
      <w:pPr>
        <w:pStyle w:val="Prrafodelista"/>
        <w:spacing w:line="240" w:lineRule="auto"/>
        <w:jc w:val="both"/>
        <w:rPr>
          <w:rFonts w:ascii="Verdana" w:hAnsi="Verdana"/>
          <w:sz w:val="20"/>
          <w:szCs w:val="20"/>
        </w:rPr>
      </w:pPr>
    </w:p>
    <w:p w14:paraId="0B0670CD" w14:textId="7E8B581A" w:rsidR="008011DC" w:rsidRPr="000A2B5A" w:rsidRDefault="008011DC" w:rsidP="00E260C1">
      <w:pPr>
        <w:pStyle w:val="Prrafodelista"/>
        <w:numPr>
          <w:ilvl w:val="0"/>
          <w:numId w:val="8"/>
        </w:numPr>
        <w:spacing w:line="240" w:lineRule="auto"/>
        <w:ind w:left="567" w:hanging="567"/>
        <w:jc w:val="both"/>
        <w:rPr>
          <w:rFonts w:ascii="Verdana" w:hAnsi="Verdana"/>
          <w:b/>
          <w:bCs/>
          <w:sz w:val="20"/>
          <w:szCs w:val="20"/>
        </w:rPr>
      </w:pPr>
      <w:r w:rsidRPr="000A2B5A">
        <w:rPr>
          <w:rFonts w:ascii="Verdana" w:hAnsi="Verdana"/>
          <w:b/>
          <w:bCs/>
          <w:sz w:val="20"/>
          <w:szCs w:val="20"/>
        </w:rPr>
        <w:t>Monitoreo</w:t>
      </w:r>
    </w:p>
    <w:p w14:paraId="55B091FE" w14:textId="0AF3C6B7" w:rsidR="000A2B5A" w:rsidRPr="008011DC" w:rsidRDefault="000A2B5A" w:rsidP="000A2B5A">
      <w:pPr>
        <w:spacing w:after="0" w:line="240" w:lineRule="auto"/>
        <w:jc w:val="both"/>
        <w:rPr>
          <w:rFonts w:ascii="Verdana" w:hAnsi="Verdana"/>
          <w:sz w:val="20"/>
          <w:szCs w:val="20"/>
        </w:rPr>
      </w:pPr>
      <w:r>
        <w:rPr>
          <w:rFonts w:ascii="Verdana" w:hAnsi="Verdana"/>
          <w:sz w:val="20"/>
          <w:szCs w:val="20"/>
        </w:rPr>
        <w:t>1.4.1.23.</w:t>
      </w:r>
    </w:p>
    <w:p w14:paraId="656601A3" w14:textId="7690A9B2"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Las entidades deben establecer lineamientos y procedimientos que permitan el seguimiento periódico de su exposición al riesgo ambiental y social, incluido el climático.</w:t>
      </w:r>
    </w:p>
    <w:p w14:paraId="26CAFDF0" w14:textId="610F18E4" w:rsidR="000A2B5A" w:rsidRPr="008011DC" w:rsidRDefault="000A2B5A" w:rsidP="000A2B5A">
      <w:pPr>
        <w:spacing w:after="0" w:line="240" w:lineRule="auto"/>
        <w:jc w:val="both"/>
        <w:rPr>
          <w:rFonts w:ascii="Verdana" w:hAnsi="Verdana"/>
          <w:sz w:val="20"/>
          <w:szCs w:val="20"/>
        </w:rPr>
      </w:pPr>
      <w:r>
        <w:rPr>
          <w:rFonts w:ascii="Verdana" w:hAnsi="Verdana"/>
          <w:sz w:val="20"/>
          <w:szCs w:val="20"/>
        </w:rPr>
        <w:t>1.4.1.24.</w:t>
      </w:r>
    </w:p>
    <w:p w14:paraId="2C6D2DF2" w14:textId="58432B62"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Dicho monitoreo debe, como mínimo:</w:t>
      </w:r>
    </w:p>
    <w:p w14:paraId="55631A3B" w14:textId="7794BDB0" w:rsidR="008011DC" w:rsidRDefault="008011DC" w:rsidP="00E260C1">
      <w:pPr>
        <w:pStyle w:val="Prrafodelista"/>
        <w:numPr>
          <w:ilvl w:val="0"/>
          <w:numId w:val="11"/>
        </w:numPr>
        <w:spacing w:line="240" w:lineRule="auto"/>
        <w:ind w:left="567" w:hanging="567"/>
        <w:jc w:val="both"/>
        <w:rPr>
          <w:rFonts w:ascii="Verdana" w:hAnsi="Verdana"/>
          <w:sz w:val="20"/>
          <w:szCs w:val="20"/>
        </w:rPr>
      </w:pPr>
      <w:r w:rsidRPr="000A2B5A">
        <w:rPr>
          <w:rFonts w:ascii="Verdana" w:hAnsi="Verdana"/>
          <w:sz w:val="20"/>
          <w:szCs w:val="20"/>
        </w:rPr>
        <w:t xml:space="preserve">Realizarse de forma anual sobre los factores de riesgo que puedan generar impactos negativos teniendo en cuenta los principios de proporcionalidad y relevancia. En cualquier caso, las entidades deben realizar un monitoreo oportuno sobre aquellos factores de riesgo ambientales y sociales, incluidos los climáticos, sobrevinientes que puedan afectar materialmente la exposición al riesgo de la respectiva entidad. </w:t>
      </w:r>
    </w:p>
    <w:p w14:paraId="0592CB9B" w14:textId="77777777" w:rsidR="000A2B5A" w:rsidRPr="000A2B5A" w:rsidRDefault="000A2B5A" w:rsidP="00E260C1">
      <w:pPr>
        <w:pStyle w:val="Prrafodelista"/>
        <w:spacing w:line="240" w:lineRule="auto"/>
        <w:ind w:left="567" w:hanging="567"/>
        <w:jc w:val="both"/>
        <w:rPr>
          <w:rFonts w:ascii="Verdana" w:hAnsi="Verdana"/>
          <w:sz w:val="20"/>
          <w:szCs w:val="20"/>
        </w:rPr>
      </w:pPr>
    </w:p>
    <w:p w14:paraId="494AD78B" w14:textId="612A5D01" w:rsidR="008011DC" w:rsidRPr="000A2B5A" w:rsidRDefault="008011DC" w:rsidP="00E260C1">
      <w:pPr>
        <w:pStyle w:val="Prrafodelista"/>
        <w:numPr>
          <w:ilvl w:val="0"/>
          <w:numId w:val="11"/>
        </w:numPr>
        <w:spacing w:line="240" w:lineRule="auto"/>
        <w:ind w:left="567" w:hanging="567"/>
        <w:jc w:val="both"/>
        <w:rPr>
          <w:rFonts w:ascii="Verdana" w:hAnsi="Verdana"/>
          <w:sz w:val="20"/>
          <w:szCs w:val="20"/>
        </w:rPr>
      </w:pPr>
      <w:r w:rsidRPr="000A2B5A">
        <w:rPr>
          <w:rFonts w:ascii="Verdana" w:hAnsi="Verdana"/>
          <w:sz w:val="20"/>
          <w:szCs w:val="20"/>
        </w:rPr>
        <w:t>Atender a la estructura, características, operaciones autorizadas y perfil de riesgo de la entidad.</w:t>
      </w:r>
    </w:p>
    <w:p w14:paraId="2D7964F7" w14:textId="5C59CB9C" w:rsidR="008011DC" w:rsidRPr="000A2B5A" w:rsidRDefault="006C6B84" w:rsidP="00832408">
      <w:pPr>
        <w:spacing w:line="240" w:lineRule="auto"/>
        <w:jc w:val="both"/>
        <w:rPr>
          <w:rFonts w:ascii="Verdana" w:hAnsi="Verdana"/>
          <w:b/>
          <w:bCs/>
          <w:sz w:val="20"/>
          <w:szCs w:val="20"/>
        </w:rPr>
      </w:pPr>
      <w:r w:rsidRPr="000A2B5A">
        <w:rPr>
          <w:rFonts w:ascii="Verdana" w:hAnsi="Verdana"/>
          <w:b/>
          <w:bCs/>
          <w:sz w:val="20"/>
          <w:szCs w:val="20"/>
        </w:rPr>
        <w:t>CAPACITACIÓN INTERNA</w:t>
      </w:r>
    </w:p>
    <w:p w14:paraId="518CB598" w14:textId="48C603FA" w:rsidR="000A2B5A" w:rsidRPr="008011DC" w:rsidRDefault="000A2B5A" w:rsidP="000A2B5A">
      <w:pPr>
        <w:spacing w:after="0" w:line="240" w:lineRule="auto"/>
        <w:jc w:val="both"/>
        <w:rPr>
          <w:rFonts w:ascii="Verdana" w:hAnsi="Verdana"/>
          <w:sz w:val="20"/>
          <w:szCs w:val="20"/>
        </w:rPr>
      </w:pPr>
      <w:r>
        <w:rPr>
          <w:rFonts w:ascii="Verdana" w:hAnsi="Verdana"/>
          <w:sz w:val="20"/>
          <w:szCs w:val="20"/>
        </w:rPr>
        <w:t>1.4.1.25.</w:t>
      </w:r>
    </w:p>
    <w:p w14:paraId="4FD01B21" w14:textId="5CA74026"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 xml:space="preserve">Las entidades deben diseñar y ejecutar planes de capacitación sobre riesgos ambientales y sociales, incluidos los climáticos, dirigidos a los funcionarios de la entidad encargados de realizar la función de gestión de riesgos, a la Alta Gerencia y a los miembros de la Junta Directiva. Para el efecto, las entidades pueden diseñar los planes de capacitación interna en atención a las funciones que desempeñan los referidos funcionarios en la gestión de riesgos ambientales y sociales, incluidos los climáticos. </w:t>
      </w:r>
    </w:p>
    <w:p w14:paraId="1754DB29" w14:textId="0812F43C" w:rsidR="000A2B5A" w:rsidRPr="008011DC" w:rsidRDefault="000A2B5A" w:rsidP="000A2B5A">
      <w:pPr>
        <w:spacing w:after="0" w:line="240" w:lineRule="auto"/>
        <w:jc w:val="both"/>
        <w:rPr>
          <w:rFonts w:ascii="Verdana" w:hAnsi="Verdana"/>
          <w:sz w:val="20"/>
          <w:szCs w:val="20"/>
        </w:rPr>
      </w:pPr>
      <w:r>
        <w:rPr>
          <w:rFonts w:ascii="Verdana" w:hAnsi="Verdana"/>
          <w:sz w:val="20"/>
          <w:szCs w:val="20"/>
        </w:rPr>
        <w:t>1.4.1.26.</w:t>
      </w:r>
    </w:p>
    <w:p w14:paraId="06BAD878" w14:textId="067F9416"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Adicionalmente, los planes de capacitación deben cumplir, como mínimo, con los siguientes requisitos:</w:t>
      </w:r>
    </w:p>
    <w:p w14:paraId="00FFFC44" w14:textId="6F24DB0C" w:rsidR="000A2B5A" w:rsidRDefault="008011DC" w:rsidP="00E260C1">
      <w:pPr>
        <w:pStyle w:val="Prrafodelista"/>
        <w:numPr>
          <w:ilvl w:val="0"/>
          <w:numId w:val="12"/>
        </w:numPr>
        <w:spacing w:line="240" w:lineRule="auto"/>
        <w:ind w:left="567" w:hanging="567"/>
        <w:jc w:val="both"/>
        <w:rPr>
          <w:rFonts w:ascii="Verdana" w:hAnsi="Verdana"/>
          <w:sz w:val="20"/>
          <w:szCs w:val="20"/>
        </w:rPr>
      </w:pPr>
      <w:r w:rsidRPr="000A2B5A">
        <w:rPr>
          <w:rFonts w:ascii="Verdana" w:hAnsi="Verdana"/>
          <w:sz w:val="20"/>
          <w:szCs w:val="20"/>
        </w:rPr>
        <w:t>Contar con la periodicidad que defina la entidad de acuerdo con las necesidades de formación</w:t>
      </w:r>
      <w:r w:rsidR="000A2B5A">
        <w:rPr>
          <w:rFonts w:ascii="Verdana" w:hAnsi="Verdana"/>
          <w:sz w:val="20"/>
          <w:szCs w:val="20"/>
        </w:rPr>
        <w:t>.</w:t>
      </w:r>
    </w:p>
    <w:p w14:paraId="7DC033C8" w14:textId="77777777" w:rsidR="000A2B5A" w:rsidRPr="000A2B5A" w:rsidRDefault="000A2B5A" w:rsidP="00E260C1">
      <w:pPr>
        <w:pStyle w:val="Prrafodelista"/>
        <w:spacing w:line="240" w:lineRule="auto"/>
        <w:ind w:left="567" w:hanging="567"/>
        <w:jc w:val="both"/>
        <w:rPr>
          <w:rFonts w:ascii="Verdana" w:hAnsi="Verdana"/>
          <w:sz w:val="20"/>
          <w:szCs w:val="20"/>
        </w:rPr>
      </w:pPr>
    </w:p>
    <w:p w14:paraId="442418AF" w14:textId="7B6FD892" w:rsidR="008011DC" w:rsidRDefault="008011DC" w:rsidP="00E260C1">
      <w:pPr>
        <w:pStyle w:val="Prrafodelista"/>
        <w:numPr>
          <w:ilvl w:val="0"/>
          <w:numId w:val="12"/>
        </w:numPr>
        <w:spacing w:line="240" w:lineRule="auto"/>
        <w:ind w:left="567" w:hanging="567"/>
        <w:jc w:val="both"/>
        <w:rPr>
          <w:rFonts w:ascii="Verdana" w:hAnsi="Verdana"/>
          <w:sz w:val="20"/>
          <w:szCs w:val="20"/>
        </w:rPr>
      </w:pPr>
      <w:r w:rsidRPr="000A2B5A">
        <w:rPr>
          <w:rFonts w:ascii="Verdana" w:hAnsi="Verdana"/>
          <w:sz w:val="20"/>
          <w:szCs w:val="20"/>
        </w:rPr>
        <w:t>Ser impartidos durante el proceso de inducción de los nuevos funcionarios encargados de realizar la función de gestión de riesgos</w:t>
      </w:r>
      <w:r w:rsidR="000A2B5A">
        <w:rPr>
          <w:rFonts w:ascii="Verdana" w:hAnsi="Verdana"/>
          <w:sz w:val="20"/>
          <w:szCs w:val="20"/>
        </w:rPr>
        <w:t>.</w:t>
      </w:r>
    </w:p>
    <w:p w14:paraId="46909261" w14:textId="77777777" w:rsidR="000A2B5A" w:rsidRPr="000A2B5A" w:rsidRDefault="000A2B5A" w:rsidP="00E260C1">
      <w:pPr>
        <w:pStyle w:val="Prrafodelista"/>
        <w:spacing w:line="240" w:lineRule="auto"/>
        <w:ind w:left="567" w:hanging="567"/>
        <w:jc w:val="both"/>
        <w:rPr>
          <w:rFonts w:ascii="Verdana" w:hAnsi="Verdana"/>
          <w:sz w:val="20"/>
          <w:szCs w:val="20"/>
        </w:rPr>
      </w:pPr>
    </w:p>
    <w:p w14:paraId="37D3D41B" w14:textId="334C606A" w:rsidR="008011DC" w:rsidRDefault="008011DC" w:rsidP="00E260C1">
      <w:pPr>
        <w:pStyle w:val="Prrafodelista"/>
        <w:numPr>
          <w:ilvl w:val="0"/>
          <w:numId w:val="12"/>
        </w:numPr>
        <w:spacing w:line="240" w:lineRule="auto"/>
        <w:ind w:left="567" w:hanging="567"/>
        <w:jc w:val="both"/>
        <w:rPr>
          <w:rFonts w:ascii="Verdana" w:hAnsi="Verdana"/>
          <w:sz w:val="20"/>
          <w:szCs w:val="20"/>
        </w:rPr>
      </w:pPr>
      <w:r w:rsidRPr="000A2B5A">
        <w:rPr>
          <w:rFonts w:ascii="Verdana" w:hAnsi="Verdana"/>
          <w:sz w:val="20"/>
          <w:szCs w:val="20"/>
        </w:rPr>
        <w:t>Ser revisados y actualizados de manera periódica</w:t>
      </w:r>
      <w:r w:rsidR="000A2B5A">
        <w:rPr>
          <w:rFonts w:ascii="Verdana" w:hAnsi="Verdana"/>
          <w:sz w:val="20"/>
          <w:szCs w:val="20"/>
        </w:rPr>
        <w:t>.</w:t>
      </w:r>
    </w:p>
    <w:p w14:paraId="15F5922D" w14:textId="77777777" w:rsidR="000A2B5A" w:rsidRDefault="000A2B5A" w:rsidP="00E260C1">
      <w:pPr>
        <w:pStyle w:val="Prrafodelista"/>
        <w:spacing w:line="240" w:lineRule="auto"/>
        <w:ind w:left="567" w:hanging="567"/>
        <w:jc w:val="both"/>
        <w:rPr>
          <w:rFonts w:ascii="Verdana" w:hAnsi="Verdana"/>
          <w:sz w:val="20"/>
          <w:szCs w:val="20"/>
        </w:rPr>
      </w:pPr>
    </w:p>
    <w:p w14:paraId="032D5C32" w14:textId="29227000" w:rsidR="008011DC" w:rsidRPr="000A2B5A" w:rsidRDefault="008011DC" w:rsidP="00E260C1">
      <w:pPr>
        <w:pStyle w:val="Prrafodelista"/>
        <w:numPr>
          <w:ilvl w:val="0"/>
          <w:numId w:val="12"/>
        </w:numPr>
        <w:spacing w:line="240" w:lineRule="auto"/>
        <w:ind w:left="567" w:hanging="567"/>
        <w:jc w:val="both"/>
        <w:rPr>
          <w:rFonts w:ascii="Verdana" w:hAnsi="Verdana"/>
          <w:sz w:val="20"/>
          <w:szCs w:val="20"/>
        </w:rPr>
      </w:pPr>
      <w:r w:rsidRPr="000A2B5A">
        <w:rPr>
          <w:rFonts w:ascii="Verdana" w:hAnsi="Verdana"/>
          <w:sz w:val="20"/>
          <w:szCs w:val="20"/>
        </w:rPr>
        <w:t>Incorporar mecanismos para medir resultados y verificar el logro de los objetivos de los planes de capacitación (por ejemplo: evaluaciones, indicadores de desempeño y encuestas de retroalimentación)</w:t>
      </w:r>
      <w:r w:rsidR="000A2B5A">
        <w:rPr>
          <w:rFonts w:ascii="Verdana" w:hAnsi="Verdana"/>
          <w:sz w:val="20"/>
          <w:szCs w:val="20"/>
        </w:rPr>
        <w:t>.</w:t>
      </w:r>
    </w:p>
    <w:p w14:paraId="10336F4A" w14:textId="2650F73A" w:rsidR="008011DC" w:rsidRPr="0098771A" w:rsidRDefault="006C6B84" w:rsidP="00832408">
      <w:pPr>
        <w:spacing w:line="240" w:lineRule="auto"/>
        <w:jc w:val="both"/>
        <w:rPr>
          <w:rFonts w:ascii="Verdana" w:hAnsi="Verdana"/>
          <w:b/>
          <w:bCs/>
          <w:sz w:val="20"/>
          <w:szCs w:val="20"/>
        </w:rPr>
      </w:pPr>
      <w:r w:rsidRPr="000A2B5A">
        <w:rPr>
          <w:rFonts w:ascii="Verdana" w:hAnsi="Verdana"/>
          <w:b/>
          <w:bCs/>
          <w:sz w:val="20"/>
          <w:szCs w:val="20"/>
        </w:rPr>
        <w:t>REPORTES</w:t>
      </w:r>
    </w:p>
    <w:p w14:paraId="1E911905" w14:textId="7ADD1E6F" w:rsidR="000A2B5A" w:rsidRPr="008011DC" w:rsidRDefault="000A2B5A" w:rsidP="000A2B5A">
      <w:pPr>
        <w:spacing w:after="0" w:line="240" w:lineRule="auto"/>
        <w:jc w:val="both"/>
        <w:rPr>
          <w:rFonts w:ascii="Verdana" w:hAnsi="Verdana"/>
          <w:sz w:val="20"/>
          <w:szCs w:val="20"/>
        </w:rPr>
      </w:pPr>
      <w:r>
        <w:rPr>
          <w:rFonts w:ascii="Verdana" w:hAnsi="Verdana"/>
          <w:sz w:val="20"/>
          <w:szCs w:val="20"/>
        </w:rPr>
        <w:t>1.4.1.27.</w:t>
      </w:r>
    </w:p>
    <w:p w14:paraId="7FA54658" w14:textId="51D0F60C"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Los encargados de realizar la función de gestión de riesgos deben presentar a la Junta Directiva y a la Alta Gerencia un informe que contenga, como mínimo, los siguientes aspectos:</w:t>
      </w:r>
    </w:p>
    <w:p w14:paraId="1C5619AD" w14:textId="7FF6CD38" w:rsidR="000A2B5A" w:rsidRDefault="008011DC" w:rsidP="0098771A">
      <w:pPr>
        <w:pStyle w:val="Prrafodelista"/>
        <w:numPr>
          <w:ilvl w:val="0"/>
          <w:numId w:val="13"/>
        </w:numPr>
        <w:spacing w:line="240" w:lineRule="auto"/>
        <w:ind w:left="567" w:hanging="567"/>
        <w:jc w:val="both"/>
        <w:rPr>
          <w:rFonts w:ascii="Verdana" w:hAnsi="Verdana"/>
          <w:sz w:val="20"/>
          <w:szCs w:val="20"/>
        </w:rPr>
      </w:pPr>
      <w:r w:rsidRPr="000A2B5A">
        <w:rPr>
          <w:rFonts w:ascii="Verdana" w:hAnsi="Verdana"/>
          <w:sz w:val="20"/>
          <w:szCs w:val="20"/>
        </w:rPr>
        <w:lastRenderedPageBreak/>
        <w:t>La identificación de los territorios y sectores económicos donde presta u ofrece sus productos y servicios o realiza actividades de inversión que resultan más expuestos a los factores de riesgo ambientales y sociales, incluidos los climáticos</w:t>
      </w:r>
      <w:r w:rsidR="000A2B5A">
        <w:rPr>
          <w:rFonts w:ascii="Verdana" w:hAnsi="Verdana"/>
          <w:sz w:val="20"/>
          <w:szCs w:val="20"/>
        </w:rPr>
        <w:t>.</w:t>
      </w:r>
    </w:p>
    <w:p w14:paraId="3E35A8BF" w14:textId="77777777" w:rsidR="000A2B5A" w:rsidRPr="000A2B5A" w:rsidRDefault="000A2B5A" w:rsidP="0098771A">
      <w:pPr>
        <w:pStyle w:val="Prrafodelista"/>
        <w:spacing w:line="240" w:lineRule="auto"/>
        <w:ind w:left="567" w:hanging="567"/>
        <w:jc w:val="both"/>
        <w:rPr>
          <w:rFonts w:ascii="Verdana" w:hAnsi="Verdana"/>
          <w:sz w:val="20"/>
          <w:szCs w:val="20"/>
        </w:rPr>
      </w:pPr>
    </w:p>
    <w:p w14:paraId="55E2508D" w14:textId="7F24301E" w:rsidR="008011DC" w:rsidRPr="000A2B5A" w:rsidRDefault="008011DC" w:rsidP="0098771A">
      <w:pPr>
        <w:pStyle w:val="Prrafodelista"/>
        <w:numPr>
          <w:ilvl w:val="0"/>
          <w:numId w:val="13"/>
        </w:numPr>
        <w:spacing w:line="240" w:lineRule="auto"/>
        <w:ind w:left="567" w:hanging="567"/>
        <w:jc w:val="both"/>
        <w:rPr>
          <w:rFonts w:ascii="Verdana" w:hAnsi="Verdana"/>
          <w:sz w:val="20"/>
          <w:szCs w:val="20"/>
        </w:rPr>
      </w:pPr>
      <w:r w:rsidRPr="000A2B5A">
        <w:rPr>
          <w:rFonts w:ascii="Verdana" w:hAnsi="Verdana"/>
          <w:sz w:val="20"/>
          <w:szCs w:val="20"/>
        </w:rPr>
        <w:t>La exposición de la entidad a los riesgos ambientales y sociales, incluidos los climáticos</w:t>
      </w:r>
      <w:r w:rsidR="000A2B5A" w:rsidRPr="000A2B5A">
        <w:rPr>
          <w:rFonts w:ascii="Verdana" w:hAnsi="Verdana"/>
          <w:sz w:val="20"/>
          <w:szCs w:val="20"/>
        </w:rPr>
        <w:t>.</w:t>
      </w:r>
    </w:p>
    <w:p w14:paraId="65B1F816" w14:textId="15992344" w:rsidR="000A2B5A" w:rsidRPr="000A2B5A" w:rsidRDefault="000A2B5A" w:rsidP="000A2B5A">
      <w:pPr>
        <w:spacing w:after="0" w:line="240" w:lineRule="auto"/>
        <w:jc w:val="both"/>
        <w:rPr>
          <w:rFonts w:ascii="Verdana" w:hAnsi="Verdana"/>
          <w:sz w:val="20"/>
          <w:szCs w:val="20"/>
        </w:rPr>
      </w:pPr>
      <w:r w:rsidRPr="000A2B5A">
        <w:rPr>
          <w:rFonts w:ascii="Verdana" w:hAnsi="Verdana"/>
          <w:sz w:val="20"/>
          <w:szCs w:val="20"/>
        </w:rPr>
        <w:t>1.4.1.2</w:t>
      </w:r>
      <w:r>
        <w:rPr>
          <w:rFonts w:ascii="Verdana" w:hAnsi="Verdana"/>
          <w:sz w:val="20"/>
          <w:szCs w:val="20"/>
        </w:rPr>
        <w:t>8</w:t>
      </w:r>
      <w:r w:rsidRPr="000A2B5A">
        <w:rPr>
          <w:rFonts w:ascii="Verdana" w:hAnsi="Verdana"/>
          <w:sz w:val="20"/>
          <w:szCs w:val="20"/>
        </w:rPr>
        <w:t>.</w:t>
      </w:r>
    </w:p>
    <w:p w14:paraId="66391241" w14:textId="77777777"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El referido informe debe prepararse anualmente, salvo que la entidad, de acuerdo con su nivel de exposición a estos riesgos, establezca una periodicidad menor.</w:t>
      </w:r>
    </w:p>
    <w:p w14:paraId="2EEAABE4" w14:textId="4EDBAEE0" w:rsidR="000A2B5A" w:rsidRPr="008011DC" w:rsidRDefault="000A2B5A" w:rsidP="000A2B5A">
      <w:pPr>
        <w:spacing w:after="0" w:line="240" w:lineRule="auto"/>
        <w:jc w:val="both"/>
        <w:rPr>
          <w:rFonts w:ascii="Verdana" w:hAnsi="Verdana"/>
          <w:sz w:val="20"/>
          <w:szCs w:val="20"/>
        </w:rPr>
      </w:pPr>
      <w:r>
        <w:rPr>
          <w:rFonts w:ascii="Verdana" w:hAnsi="Verdana"/>
          <w:sz w:val="20"/>
          <w:szCs w:val="20"/>
        </w:rPr>
        <w:t>1.4.1.29.</w:t>
      </w:r>
    </w:p>
    <w:p w14:paraId="00BD0662" w14:textId="2707F9AD"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 xml:space="preserve">Estos reportes pueden servir como insumo para la toma de decisiones informadas, la planeación estratégica y el fortalecimiento de la resiliencia institucional frente a los riesgos ambientales y sociales, incluidos los climáticos. Asimismo, pueden contribuir a mejorar la capacidad de la entidad para identificar tendencias de riesgo y atender los requerimientos de sostenibilidad y responsabilidad ambiental, social y climática que sean aplicables o que la entidad quiera gestionar. </w:t>
      </w:r>
    </w:p>
    <w:p w14:paraId="780236E3" w14:textId="49EA5D56" w:rsidR="000A2B5A" w:rsidRPr="008011DC" w:rsidRDefault="000A2B5A" w:rsidP="000A2B5A">
      <w:pPr>
        <w:spacing w:after="0" w:line="240" w:lineRule="auto"/>
        <w:jc w:val="both"/>
        <w:rPr>
          <w:rFonts w:ascii="Verdana" w:hAnsi="Verdana"/>
          <w:sz w:val="20"/>
          <w:szCs w:val="20"/>
        </w:rPr>
      </w:pPr>
      <w:r>
        <w:rPr>
          <w:rFonts w:ascii="Verdana" w:hAnsi="Verdana"/>
          <w:sz w:val="20"/>
          <w:szCs w:val="20"/>
        </w:rPr>
        <w:t>1.4.1.30.</w:t>
      </w:r>
    </w:p>
    <w:p w14:paraId="6EAA8A2E" w14:textId="77777777" w:rsidR="008011DC" w:rsidRPr="008011DC" w:rsidRDefault="008011DC" w:rsidP="00832408">
      <w:pPr>
        <w:spacing w:line="240" w:lineRule="auto"/>
        <w:jc w:val="both"/>
        <w:rPr>
          <w:rFonts w:ascii="Verdana" w:hAnsi="Verdana"/>
          <w:sz w:val="20"/>
          <w:szCs w:val="20"/>
        </w:rPr>
      </w:pPr>
      <w:r w:rsidRPr="008011DC">
        <w:rPr>
          <w:rFonts w:ascii="Verdana" w:hAnsi="Verdana"/>
          <w:sz w:val="20"/>
          <w:szCs w:val="20"/>
        </w:rPr>
        <w:t>Estos informes deben estar a disposición de la SFC.</w:t>
      </w:r>
    </w:p>
    <w:p w14:paraId="34FD7863" w14:textId="1F8409D7" w:rsidR="009D6127" w:rsidRPr="008011DC" w:rsidRDefault="008011DC" w:rsidP="00832408">
      <w:pPr>
        <w:spacing w:line="240" w:lineRule="auto"/>
        <w:jc w:val="both"/>
        <w:rPr>
          <w:rFonts w:ascii="Verdana" w:hAnsi="Verdana"/>
          <w:sz w:val="20"/>
          <w:szCs w:val="20"/>
        </w:rPr>
      </w:pPr>
      <w:r w:rsidRPr="008011DC">
        <w:rPr>
          <w:rFonts w:ascii="Verdana" w:hAnsi="Verdana"/>
          <w:sz w:val="20"/>
          <w:szCs w:val="20"/>
        </w:rPr>
        <w:t> </w:t>
      </w:r>
    </w:p>
    <w:p w14:paraId="55A94767" w14:textId="371B06B7" w:rsidR="00DA0C0E" w:rsidRPr="008011DC" w:rsidRDefault="00DA0C0E" w:rsidP="00832408">
      <w:pPr>
        <w:tabs>
          <w:tab w:val="left" w:pos="426"/>
        </w:tabs>
        <w:spacing w:after="0" w:line="240" w:lineRule="auto"/>
        <w:jc w:val="both"/>
        <w:rPr>
          <w:rFonts w:ascii="Verdana" w:hAnsi="Verdana" w:cs="Arial"/>
          <w:sz w:val="20"/>
          <w:szCs w:val="20"/>
          <w:lang w:val="es-ES"/>
        </w:rPr>
      </w:pPr>
    </w:p>
    <w:sectPr w:rsidR="00DA0C0E" w:rsidRPr="008011DC" w:rsidSect="003C558F">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8E253" w14:textId="77777777" w:rsidR="000B12CF" w:rsidRDefault="000B12CF" w:rsidP="00057BF6">
      <w:pPr>
        <w:spacing w:after="0" w:line="240" w:lineRule="auto"/>
      </w:pPr>
      <w:r>
        <w:separator/>
      </w:r>
    </w:p>
  </w:endnote>
  <w:endnote w:type="continuationSeparator" w:id="0">
    <w:p w14:paraId="7D3F60B4" w14:textId="77777777" w:rsidR="000B12CF" w:rsidRDefault="000B12CF" w:rsidP="00057BF6">
      <w:pPr>
        <w:spacing w:after="0" w:line="240" w:lineRule="auto"/>
      </w:pPr>
      <w:r>
        <w:continuationSeparator/>
      </w:r>
    </w:p>
  </w:endnote>
  <w:endnote w:type="continuationNotice" w:id="1">
    <w:p w14:paraId="24FFD379" w14:textId="77777777" w:rsidR="000B12CF" w:rsidRDefault="000B1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F8637" w14:textId="77777777" w:rsidR="000B12CF" w:rsidRDefault="000B12CF" w:rsidP="00057BF6">
      <w:pPr>
        <w:spacing w:after="0" w:line="240" w:lineRule="auto"/>
      </w:pPr>
      <w:r>
        <w:separator/>
      </w:r>
    </w:p>
  </w:footnote>
  <w:footnote w:type="continuationSeparator" w:id="0">
    <w:p w14:paraId="4AC530F2" w14:textId="77777777" w:rsidR="000B12CF" w:rsidRDefault="000B12CF" w:rsidP="00057BF6">
      <w:pPr>
        <w:spacing w:after="0" w:line="240" w:lineRule="auto"/>
      </w:pPr>
      <w:r>
        <w:continuationSeparator/>
      </w:r>
    </w:p>
  </w:footnote>
  <w:footnote w:type="continuationNotice" w:id="1">
    <w:p w14:paraId="6101E63B" w14:textId="77777777" w:rsidR="000B12CF" w:rsidRDefault="000B1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18942C86"/>
    <w:multiLevelType w:val="hybridMultilevel"/>
    <w:tmpl w:val="A866C11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 w15:restartNumberingAfterBreak="0">
    <w:nsid w:val="1BD311EA"/>
    <w:multiLevelType w:val="hybridMultilevel"/>
    <w:tmpl w:val="AE14BE0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20AF7F3D"/>
    <w:multiLevelType w:val="hybridMultilevel"/>
    <w:tmpl w:val="24BA4016"/>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2AB63ED6"/>
    <w:multiLevelType w:val="hybridMultilevel"/>
    <w:tmpl w:val="9EC80604"/>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468A53B7"/>
    <w:multiLevelType w:val="hybridMultilevel"/>
    <w:tmpl w:val="B530A22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4BFB2EF8"/>
    <w:multiLevelType w:val="hybridMultilevel"/>
    <w:tmpl w:val="3852F8C2"/>
    <w:lvl w:ilvl="0" w:tplc="78C0E582">
      <w:start w:val="4"/>
      <w:numFmt w:val="lowerLetter"/>
      <w:lvlText w:val="%1)"/>
      <w:lvlJc w:val="left"/>
      <w:pPr>
        <w:tabs>
          <w:tab w:val="num" w:pos="360"/>
        </w:tabs>
        <w:ind w:left="360" w:hanging="360"/>
      </w:pPr>
      <w:rPr>
        <w:rFonts w:hint="default"/>
      </w:rPr>
    </w:lvl>
    <w:lvl w:ilvl="1" w:tplc="0C0A0019" w:tentative="1">
      <w:start w:val="1"/>
      <w:numFmt w:val="lowerLetter"/>
      <w:pStyle w:val="Titulo3"/>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56F8317C"/>
    <w:multiLevelType w:val="hybridMultilevel"/>
    <w:tmpl w:val="4866FD28"/>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587C5A4E"/>
    <w:multiLevelType w:val="multilevel"/>
    <w:tmpl w:val="86D62B70"/>
    <w:lvl w:ilvl="0">
      <w:start w:val="1"/>
      <w:numFmt w:val="bullet"/>
      <w:lvlText w:val=""/>
      <w:lvlJc w:val="left"/>
      <w:pPr>
        <w:tabs>
          <w:tab w:val="num" w:pos="360"/>
        </w:tabs>
        <w:ind w:left="360" w:hanging="360"/>
      </w:pPr>
      <w:rPr>
        <w:rFonts w:ascii="Symbol" w:hAnsi="Symbol" w:hint="default"/>
        <w:b/>
      </w:rPr>
    </w:lvl>
    <w:lvl w:ilvl="1">
      <w:start w:val="1"/>
      <w:numFmt w:val="decimal"/>
      <w:pStyle w:val="Titulo"/>
      <w:lvlText w:val="%1.%2"/>
      <w:lvlJc w:val="left"/>
      <w:pPr>
        <w:tabs>
          <w:tab w:val="num" w:pos="1070"/>
        </w:tabs>
        <w:ind w:left="107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2.%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60B96C07"/>
    <w:multiLevelType w:val="hybridMultilevel"/>
    <w:tmpl w:val="EDAEBF3C"/>
    <w:lvl w:ilvl="0" w:tplc="580A0019">
      <w:start w:val="1"/>
      <w:numFmt w:val="lowerLetter"/>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6422D4D"/>
    <w:multiLevelType w:val="hybridMultilevel"/>
    <w:tmpl w:val="4FDC45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6FF1FC8"/>
    <w:multiLevelType w:val="hybridMultilevel"/>
    <w:tmpl w:val="E7C6304A"/>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670B4D97"/>
    <w:multiLevelType w:val="hybridMultilevel"/>
    <w:tmpl w:val="A63E4BCC"/>
    <w:lvl w:ilvl="0" w:tplc="580A0019">
      <w:start w:val="1"/>
      <w:numFmt w:val="lowerLetter"/>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3"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80435568">
    <w:abstractNumId w:val="13"/>
  </w:num>
  <w:num w:numId="2" w16cid:durableId="1362513633">
    <w:abstractNumId w:val="0"/>
  </w:num>
  <w:num w:numId="3" w16cid:durableId="640697657">
    <w:abstractNumId w:val="8"/>
  </w:num>
  <w:num w:numId="4" w16cid:durableId="1447387446">
    <w:abstractNumId w:val="6"/>
  </w:num>
  <w:num w:numId="5" w16cid:durableId="833301108">
    <w:abstractNumId w:val="7"/>
  </w:num>
  <w:num w:numId="6" w16cid:durableId="2090929540">
    <w:abstractNumId w:val="4"/>
  </w:num>
  <w:num w:numId="7" w16cid:durableId="1840539712">
    <w:abstractNumId w:val="3"/>
  </w:num>
  <w:num w:numId="8" w16cid:durableId="2053842636">
    <w:abstractNumId w:val="2"/>
  </w:num>
  <w:num w:numId="9" w16cid:durableId="232200126">
    <w:abstractNumId w:val="9"/>
  </w:num>
  <w:num w:numId="10" w16cid:durableId="495074258">
    <w:abstractNumId w:val="1"/>
  </w:num>
  <w:num w:numId="11" w16cid:durableId="536310083">
    <w:abstractNumId w:val="12"/>
  </w:num>
  <w:num w:numId="12" w16cid:durableId="508757134">
    <w:abstractNumId w:val="11"/>
  </w:num>
  <w:num w:numId="13" w16cid:durableId="464201708">
    <w:abstractNumId w:val="5"/>
  </w:num>
  <w:num w:numId="14" w16cid:durableId="4387099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14CCB"/>
    <w:rsid w:val="00026FFA"/>
    <w:rsid w:val="00057BF6"/>
    <w:rsid w:val="0006736C"/>
    <w:rsid w:val="000728A8"/>
    <w:rsid w:val="00086889"/>
    <w:rsid w:val="000A02EA"/>
    <w:rsid w:val="000A0C92"/>
    <w:rsid w:val="000A2B5A"/>
    <w:rsid w:val="000B12CF"/>
    <w:rsid w:val="000B72B0"/>
    <w:rsid w:val="000E530A"/>
    <w:rsid w:val="000F5757"/>
    <w:rsid w:val="000F66D4"/>
    <w:rsid w:val="001003F5"/>
    <w:rsid w:val="0010081A"/>
    <w:rsid w:val="00105A03"/>
    <w:rsid w:val="0011299A"/>
    <w:rsid w:val="00116005"/>
    <w:rsid w:val="00124C3F"/>
    <w:rsid w:val="001356B1"/>
    <w:rsid w:val="0014104C"/>
    <w:rsid w:val="00151B6C"/>
    <w:rsid w:val="0015655D"/>
    <w:rsid w:val="00175A00"/>
    <w:rsid w:val="0018575D"/>
    <w:rsid w:val="001A1549"/>
    <w:rsid w:val="001B4F62"/>
    <w:rsid w:val="001B5187"/>
    <w:rsid w:val="001C2ADF"/>
    <w:rsid w:val="001C588A"/>
    <w:rsid w:val="001D1DB5"/>
    <w:rsid w:val="001E0F92"/>
    <w:rsid w:val="001E1768"/>
    <w:rsid w:val="001F16EF"/>
    <w:rsid w:val="0020607C"/>
    <w:rsid w:val="002116D5"/>
    <w:rsid w:val="0021666A"/>
    <w:rsid w:val="002268CB"/>
    <w:rsid w:val="002268EF"/>
    <w:rsid w:val="0023407B"/>
    <w:rsid w:val="002401F2"/>
    <w:rsid w:val="00240AF9"/>
    <w:rsid w:val="002419F0"/>
    <w:rsid w:val="00261888"/>
    <w:rsid w:val="002742AF"/>
    <w:rsid w:val="00275639"/>
    <w:rsid w:val="002970C4"/>
    <w:rsid w:val="002A0556"/>
    <w:rsid w:val="002B3FC7"/>
    <w:rsid w:val="002B4F4A"/>
    <w:rsid w:val="002C0527"/>
    <w:rsid w:val="002C0A9B"/>
    <w:rsid w:val="002C2560"/>
    <w:rsid w:val="002C4299"/>
    <w:rsid w:val="002E0E78"/>
    <w:rsid w:val="002E40AA"/>
    <w:rsid w:val="002F090B"/>
    <w:rsid w:val="002F179A"/>
    <w:rsid w:val="002F4530"/>
    <w:rsid w:val="002F5CF4"/>
    <w:rsid w:val="00307FF8"/>
    <w:rsid w:val="00310409"/>
    <w:rsid w:val="00314233"/>
    <w:rsid w:val="0033541E"/>
    <w:rsid w:val="003422D1"/>
    <w:rsid w:val="00346D62"/>
    <w:rsid w:val="00355F51"/>
    <w:rsid w:val="003613EE"/>
    <w:rsid w:val="0036407F"/>
    <w:rsid w:val="003649CF"/>
    <w:rsid w:val="00375829"/>
    <w:rsid w:val="00392BEC"/>
    <w:rsid w:val="003A5CFE"/>
    <w:rsid w:val="003B09E1"/>
    <w:rsid w:val="003B6004"/>
    <w:rsid w:val="003C558F"/>
    <w:rsid w:val="003D01AD"/>
    <w:rsid w:val="003E051D"/>
    <w:rsid w:val="003F1772"/>
    <w:rsid w:val="0040498E"/>
    <w:rsid w:val="00405030"/>
    <w:rsid w:val="00406D2B"/>
    <w:rsid w:val="00422F6D"/>
    <w:rsid w:val="00427537"/>
    <w:rsid w:val="0042785C"/>
    <w:rsid w:val="00430817"/>
    <w:rsid w:val="0043223D"/>
    <w:rsid w:val="004342C4"/>
    <w:rsid w:val="004362B9"/>
    <w:rsid w:val="00437AF2"/>
    <w:rsid w:val="004604AC"/>
    <w:rsid w:val="00473068"/>
    <w:rsid w:val="00473B77"/>
    <w:rsid w:val="00484E2F"/>
    <w:rsid w:val="00490260"/>
    <w:rsid w:val="004925D5"/>
    <w:rsid w:val="00493D28"/>
    <w:rsid w:val="00494943"/>
    <w:rsid w:val="004A39F9"/>
    <w:rsid w:val="004B5FF8"/>
    <w:rsid w:val="004E1A64"/>
    <w:rsid w:val="004E2AED"/>
    <w:rsid w:val="004F6439"/>
    <w:rsid w:val="0051673E"/>
    <w:rsid w:val="00520D80"/>
    <w:rsid w:val="0052278B"/>
    <w:rsid w:val="005264A3"/>
    <w:rsid w:val="00532440"/>
    <w:rsid w:val="00544A86"/>
    <w:rsid w:val="0055480C"/>
    <w:rsid w:val="005567FF"/>
    <w:rsid w:val="0055785C"/>
    <w:rsid w:val="005609BC"/>
    <w:rsid w:val="00564B9E"/>
    <w:rsid w:val="005676A0"/>
    <w:rsid w:val="00575D43"/>
    <w:rsid w:val="00577CD3"/>
    <w:rsid w:val="0058176B"/>
    <w:rsid w:val="0058263B"/>
    <w:rsid w:val="0058723C"/>
    <w:rsid w:val="0059607C"/>
    <w:rsid w:val="00596519"/>
    <w:rsid w:val="00596B88"/>
    <w:rsid w:val="005B7BCB"/>
    <w:rsid w:val="005C5763"/>
    <w:rsid w:val="005D2044"/>
    <w:rsid w:val="005D218A"/>
    <w:rsid w:val="005E3284"/>
    <w:rsid w:val="005E647D"/>
    <w:rsid w:val="005F175F"/>
    <w:rsid w:val="0061423F"/>
    <w:rsid w:val="00620A56"/>
    <w:rsid w:val="00622997"/>
    <w:rsid w:val="00625919"/>
    <w:rsid w:val="00626451"/>
    <w:rsid w:val="006269DA"/>
    <w:rsid w:val="00626EC1"/>
    <w:rsid w:val="00632F71"/>
    <w:rsid w:val="006345E2"/>
    <w:rsid w:val="00641C68"/>
    <w:rsid w:val="0064512E"/>
    <w:rsid w:val="00647A6C"/>
    <w:rsid w:val="0065284D"/>
    <w:rsid w:val="00671C76"/>
    <w:rsid w:val="00684047"/>
    <w:rsid w:val="006A3ABA"/>
    <w:rsid w:val="006A7B99"/>
    <w:rsid w:val="006B0B1E"/>
    <w:rsid w:val="006B0F97"/>
    <w:rsid w:val="006B11D4"/>
    <w:rsid w:val="006C4D50"/>
    <w:rsid w:val="006C6B84"/>
    <w:rsid w:val="006D221A"/>
    <w:rsid w:val="006D766D"/>
    <w:rsid w:val="006E7CCF"/>
    <w:rsid w:val="006F293B"/>
    <w:rsid w:val="006F527B"/>
    <w:rsid w:val="00703425"/>
    <w:rsid w:val="00721D02"/>
    <w:rsid w:val="00724C8B"/>
    <w:rsid w:val="00730B64"/>
    <w:rsid w:val="00735A47"/>
    <w:rsid w:val="0074476A"/>
    <w:rsid w:val="007678F2"/>
    <w:rsid w:val="0077362D"/>
    <w:rsid w:val="007A0885"/>
    <w:rsid w:val="007A1137"/>
    <w:rsid w:val="007A302E"/>
    <w:rsid w:val="007A4231"/>
    <w:rsid w:val="007B2CD5"/>
    <w:rsid w:val="007B3698"/>
    <w:rsid w:val="007C276E"/>
    <w:rsid w:val="007C673F"/>
    <w:rsid w:val="007C7D3A"/>
    <w:rsid w:val="007D4332"/>
    <w:rsid w:val="007D6A7A"/>
    <w:rsid w:val="007F6718"/>
    <w:rsid w:val="008011DC"/>
    <w:rsid w:val="0080177D"/>
    <w:rsid w:val="00803053"/>
    <w:rsid w:val="008038CC"/>
    <w:rsid w:val="00803FF4"/>
    <w:rsid w:val="008143BD"/>
    <w:rsid w:val="0082329A"/>
    <w:rsid w:val="00832408"/>
    <w:rsid w:val="00832BEC"/>
    <w:rsid w:val="00852379"/>
    <w:rsid w:val="008617EC"/>
    <w:rsid w:val="00861C79"/>
    <w:rsid w:val="00866023"/>
    <w:rsid w:val="00886509"/>
    <w:rsid w:val="008A7193"/>
    <w:rsid w:val="008B26AF"/>
    <w:rsid w:val="008B34F9"/>
    <w:rsid w:val="008C1F56"/>
    <w:rsid w:val="008F6B84"/>
    <w:rsid w:val="008F752E"/>
    <w:rsid w:val="00905AB8"/>
    <w:rsid w:val="00912913"/>
    <w:rsid w:val="009162F3"/>
    <w:rsid w:val="00920742"/>
    <w:rsid w:val="009230DC"/>
    <w:rsid w:val="00932C6D"/>
    <w:rsid w:val="0093695F"/>
    <w:rsid w:val="00946033"/>
    <w:rsid w:val="009524E2"/>
    <w:rsid w:val="00955E84"/>
    <w:rsid w:val="00956EC8"/>
    <w:rsid w:val="009571FD"/>
    <w:rsid w:val="00961180"/>
    <w:rsid w:val="00962826"/>
    <w:rsid w:val="0098771A"/>
    <w:rsid w:val="009A2823"/>
    <w:rsid w:val="009A346C"/>
    <w:rsid w:val="009A774A"/>
    <w:rsid w:val="009B6D85"/>
    <w:rsid w:val="009B76D5"/>
    <w:rsid w:val="009D2CB8"/>
    <w:rsid w:val="009D6127"/>
    <w:rsid w:val="009E2CE9"/>
    <w:rsid w:val="009E2F72"/>
    <w:rsid w:val="009E4136"/>
    <w:rsid w:val="009E5194"/>
    <w:rsid w:val="009E60FA"/>
    <w:rsid w:val="00A13C94"/>
    <w:rsid w:val="00A41E5E"/>
    <w:rsid w:val="00A4257B"/>
    <w:rsid w:val="00A63577"/>
    <w:rsid w:val="00A67759"/>
    <w:rsid w:val="00A75533"/>
    <w:rsid w:val="00A83FD4"/>
    <w:rsid w:val="00A84EB0"/>
    <w:rsid w:val="00A87AE4"/>
    <w:rsid w:val="00A91BD2"/>
    <w:rsid w:val="00A9232C"/>
    <w:rsid w:val="00A94C4F"/>
    <w:rsid w:val="00AB04A4"/>
    <w:rsid w:val="00AC232E"/>
    <w:rsid w:val="00AD0BC1"/>
    <w:rsid w:val="00AD230F"/>
    <w:rsid w:val="00AD5780"/>
    <w:rsid w:val="00AE5B23"/>
    <w:rsid w:val="00AF3D8F"/>
    <w:rsid w:val="00AF443C"/>
    <w:rsid w:val="00B028C4"/>
    <w:rsid w:val="00B116B6"/>
    <w:rsid w:val="00B16823"/>
    <w:rsid w:val="00B23EF9"/>
    <w:rsid w:val="00B27B30"/>
    <w:rsid w:val="00B27D8F"/>
    <w:rsid w:val="00B3143F"/>
    <w:rsid w:val="00B32761"/>
    <w:rsid w:val="00B34265"/>
    <w:rsid w:val="00B35D51"/>
    <w:rsid w:val="00B549E6"/>
    <w:rsid w:val="00B57295"/>
    <w:rsid w:val="00B61901"/>
    <w:rsid w:val="00B643A3"/>
    <w:rsid w:val="00B64BD8"/>
    <w:rsid w:val="00B651DD"/>
    <w:rsid w:val="00B6603E"/>
    <w:rsid w:val="00B75835"/>
    <w:rsid w:val="00B85F73"/>
    <w:rsid w:val="00B92519"/>
    <w:rsid w:val="00B93EF3"/>
    <w:rsid w:val="00BA101A"/>
    <w:rsid w:val="00BA555C"/>
    <w:rsid w:val="00BB5D0B"/>
    <w:rsid w:val="00BE21A6"/>
    <w:rsid w:val="00BF20C6"/>
    <w:rsid w:val="00BF28FE"/>
    <w:rsid w:val="00C00EFA"/>
    <w:rsid w:val="00C05284"/>
    <w:rsid w:val="00C07447"/>
    <w:rsid w:val="00C24CD0"/>
    <w:rsid w:val="00C33C60"/>
    <w:rsid w:val="00C3457A"/>
    <w:rsid w:val="00C54B7A"/>
    <w:rsid w:val="00C54CD2"/>
    <w:rsid w:val="00C55D2B"/>
    <w:rsid w:val="00C625A1"/>
    <w:rsid w:val="00C66D0B"/>
    <w:rsid w:val="00C679C7"/>
    <w:rsid w:val="00C73144"/>
    <w:rsid w:val="00C73848"/>
    <w:rsid w:val="00C82318"/>
    <w:rsid w:val="00C9110D"/>
    <w:rsid w:val="00C96FC5"/>
    <w:rsid w:val="00CA4D43"/>
    <w:rsid w:val="00CA65C6"/>
    <w:rsid w:val="00CA7FB7"/>
    <w:rsid w:val="00CB2672"/>
    <w:rsid w:val="00CC3647"/>
    <w:rsid w:val="00CC6142"/>
    <w:rsid w:val="00CF225B"/>
    <w:rsid w:val="00D0126B"/>
    <w:rsid w:val="00D30F59"/>
    <w:rsid w:val="00D32CF7"/>
    <w:rsid w:val="00D44116"/>
    <w:rsid w:val="00D52F68"/>
    <w:rsid w:val="00D5380E"/>
    <w:rsid w:val="00D57AAD"/>
    <w:rsid w:val="00D61286"/>
    <w:rsid w:val="00D640F9"/>
    <w:rsid w:val="00D6412F"/>
    <w:rsid w:val="00D651C1"/>
    <w:rsid w:val="00D66198"/>
    <w:rsid w:val="00D75610"/>
    <w:rsid w:val="00D81CBE"/>
    <w:rsid w:val="00D93591"/>
    <w:rsid w:val="00D9615E"/>
    <w:rsid w:val="00DA02E0"/>
    <w:rsid w:val="00DA0C0E"/>
    <w:rsid w:val="00DA15B1"/>
    <w:rsid w:val="00DA4CEC"/>
    <w:rsid w:val="00DA7550"/>
    <w:rsid w:val="00DB1832"/>
    <w:rsid w:val="00DB1E5E"/>
    <w:rsid w:val="00DB3370"/>
    <w:rsid w:val="00DC3D1D"/>
    <w:rsid w:val="00DC54B9"/>
    <w:rsid w:val="00DD0E93"/>
    <w:rsid w:val="00DE080B"/>
    <w:rsid w:val="00DE4411"/>
    <w:rsid w:val="00DF69B7"/>
    <w:rsid w:val="00DF69EC"/>
    <w:rsid w:val="00E01573"/>
    <w:rsid w:val="00E02D8A"/>
    <w:rsid w:val="00E03CCC"/>
    <w:rsid w:val="00E217F5"/>
    <w:rsid w:val="00E260C1"/>
    <w:rsid w:val="00E269A8"/>
    <w:rsid w:val="00E36D12"/>
    <w:rsid w:val="00E50649"/>
    <w:rsid w:val="00E50F5E"/>
    <w:rsid w:val="00E60423"/>
    <w:rsid w:val="00E641FE"/>
    <w:rsid w:val="00E826C1"/>
    <w:rsid w:val="00E93575"/>
    <w:rsid w:val="00EE06CE"/>
    <w:rsid w:val="00EF2A94"/>
    <w:rsid w:val="00EF5C0B"/>
    <w:rsid w:val="00F057C1"/>
    <w:rsid w:val="00F07FDF"/>
    <w:rsid w:val="00F31AC4"/>
    <w:rsid w:val="00F35647"/>
    <w:rsid w:val="00F63BBA"/>
    <w:rsid w:val="00F7466B"/>
    <w:rsid w:val="00F90FE9"/>
    <w:rsid w:val="00F9452A"/>
    <w:rsid w:val="00FA25ED"/>
    <w:rsid w:val="00FA74E3"/>
    <w:rsid w:val="00FC0D3B"/>
    <w:rsid w:val="0349E4F9"/>
    <w:rsid w:val="037E7753"/>
    <w:rsid w:val="09D24D39"/>
    <w:rsid w:val="110B1FCB"/>
    <w:rsid w:val="119E7787"/>
    <w:rsid w:val="15BEC71F"/>
    <w:rsid w:val="17216BD7"/>
    <w:rsid w:val="1DFAD398"/>
    <w:rsid w:val="265AFD2E"/>
    <w:rsid w:val="265E70FE"/>
    <w:rsid w:val="37B7895C"/>
    <w:rsid w:val="40FD2EDE"/>
    <w:rsid w:val="4B1EE7A1"/>
    <w:rsid w:val="4B885312"/>
    <w:rsid w:val="4BCDD408"/>
    <w:rsid w:val="52F956B3"/>
    <w:rsid w:val="6B5807AC"/>
    <w:rsid w:val="724A67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D58D09CA-D00F-4604-87F0-43A9D284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D3B"/>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link w:val="PrrafodelistaCar"/>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Titulo">
    <w:name w:val="Titulo"/>
    <w:basedOn w:val="Textoindependiente2"/>
    <w:link w:val="TituloCar"/>
    <w:rsid w:val="00A87AE4"/>
    <w:pPr>
      <w:numPr>
        <w:ilvl w:val="1"/>
        <w:numId w:val="3"/>
      </w:numPr>
      <w:spacing w:after="0" w:line="240" w:lineRule="auto"/>
      <w:jc w:val="both"/>
    </w:pPr>
    <w:rPr>
      <w:rFonts w:ascii="Arial" w:hAnsi="Arial" w:cs="Arial"/>
      <w:b/>
      <w:bCs/>
      <w:sz w:val="24"/>
      <w:szCs w:val="24"/>
    </w:rPr>
  </w:style>
  <w:style w:type="paragraph" w:customStyle="1" w:styleId="Titulo2">
    <w:name w:val="Titulo 2"/>
    <w:basedOn w:val="Titulo"/>
    <w:rsid w:val="00A87AE4"/>
    <w:pPr>
      <w:numPr>
        <w:ilvl w:val="0"/>
        <w:numId w:val="0"/>
      </w:numPr>
    </w:pPr>
  </w:style>
  <w:style w:type="character" w:customStyle="1" w:styleId="Titulo3Car">
    <w:name w:val="Titulo 3 Car"/>
    <w:basedOn w:val="Fuentedeprrafopredeter"/>
    <w:link w:val="Titulo3"/>
    <w:rsid w:val="00A87AE4"/>
    <w:rPr>
      <w:rFonts w:ascii="Arial" w:hAnsi="Arial" w:cs="Arial"/>
      <w:b/>
      <w:bCs/>
      <w:sz w:val="24"/>
      <w:szCs w:val="24"/>
      <w:lang w:val="es-ES" w:eastAsia="es-ES"/>
    </w:rPr>
  </w:style>
  <w:style w:type="paragraph" w:customStyle="1" w:styleId="Titulo3">
    <w:name w:val="Titulo 3"/>
    <w:basedOn w:val="Titulo"/>
    <w:link w:val="Titulo3Car"/>
    <w:rsid w:val="00A87AE4"/>
    <w:pPr>
      <w:numPr>
        <w:numId w:val="4"/>
      </w:numPr>
      <w:tabs>
        <w:tab w:val="clear" w:pos="1080"/>
        <w:tab w:val="num" w:pos="643"/>
      </w:tabs>
      <w:ind w:left="643"/>
    </w:pPr>
    <w:rPr>
      <w:rFonts w:eastAsiaTheme="minorHAnsi"/>
      <w:kern w:val="2"/>
      <w14:ligatures w14:val="standardContextual"/>
    </w:rPr>
  </w:style>
  <w:style w:type="character" w:customStyle="1" w:styleId="TituloCar">
    <w:name w:val="Titulo Car"/>
    <w:link w:val="Titulo"/>
    <w:rsid w:val="00A87AE4"/>
    <w:rPr>
      <w:rFonts w:ascii="Arial" w:eastAsia="Times New Roman" w:hAnsi="Arial" w:cs="Arial"/>
      <w:b/>
      <w:bCs/>
      <w:kern w:val="0"/>
      <w:sz w:val="24"/>
      <w:szCs w:val="24"/>
      <w:lang w:val="es-ES" w:eastAsia="es-ES"/>
      <w14:ligatures w14:val="none"/>
    </w:rPr>
  </w:style>
  <w:style w:type="character" w:customStyle="1" w:styleId="PrrafodelistaCar">
    <w:name w:val="Párrafo de lista Car"/>
    <w:aliases w:val="EY EPM - Lista Car"/>
    <w:link w:val="Prrafodelista"/>
    <w:uiPriority w:val="34"/>
    <w:locked/>
    <w:rsid w:val="00A87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415902">
      <w:bodyDiv w:val="1"/>
      <w:marLeft w:val="0"/>
      <w:marRight w:val="0"/>
      <w:marTop w:val="0"/>
      <w:marBottom w:val="0"/>
      <w:divBdr>
        <w:top w:val="none" w:sz="0" w:space="0" w:color="auto"/>
        <w:left w:val="none" w:sz="0" w:space="0" w:color="auto"/>
        <w:bottom w:val="none" w:sz="0" w:space="0" w:color="auto"/>
        <w:right w:val="none" w:sz="0" w:space="0" w:color="auto"/>
      </w:divBdr>
    </w:div>
    <w:div w:id="194900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41C231-C1FB-47A6-9778-457AC2B74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2217</Words>
  <Characters>12955</Characters>
  <Application>Microsoft Office Word</Application>
  <DocSecurity>0</DocSecurity>
  <Lines>285</Lines>
  <Paragraphs>105</Paragraphs>
  <ScaleCrop>false</ScaleCrop>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40</cp:revision>
  <dcterms:created xsi:type="dcterms:W3CDTF">2025-11-19T15:44:00Z</dcterms:created>
  <dcterms:modified xsi:type="dcterms:W3CDTF">2026-04-13T15:51:00Z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